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6"/>
          <w:szCs w:val="36"/>
        </w:rPr>
      </w:pPr>
      <w:r>
        <w:rPr/>
      </w:r>
    </w:p>
    <w:p>
      <w:pPr>
        <w:pStyle w:val="Normal"/>
        <w:jc w:val="center"/>
        <w:rPr>
          <w:b/>
          <w:b/>
          <w:sz w:val="36"/>
          <w:szCs w:val="36"/>
        </w:rPr>
      </w:pPr>
      <w:bookmarkStart w:id="0" w:name="__DdeLink__7399_1452463223"/>
      <w:bookmarkStart w:id="1" w:name="_GoBack"/>
      <w:bookmarkEnd w:id="1"/>
      <w:r>
        <w:rPr>
          <w:b/>
          <w:sz w:val="32"/>
          <w:szCs w:val="32"/>
        </w:rPr>
        <w:t>PERSONAL DATA IS THE NATURAL RESOURCE OF EACH NATION-STATE.</w:t>
      </w:r>
    </w:p>
    <w:p>
      <w:pPr>
        <w:pStyle w:val="Normal"/>
        <w:jc w:val="center"/>
        <w:rPr>
          <w:b/>
          <w:b/>
        </w:rPr>
      </w:pPr>
      <w:r>
        <w:rPr>
          <w:b/>
        </w:rPr>
      </w:r>
    </w:p>
    <w:p>
      <w:pPr>
        <w:pStyle w:val="Normal"/>
        <w:jc w:val="center"/>
        <w:rPr>
          <w:b/>
          <w:b/>
        </w:rPr>
      </w:pPr>
      <w:r>
        <w:rPr>
          <w:b/>
        </w:rPr>
      </w:r>
    </w:p>
    <w:p>
      <w:pPr>
        <w:pStyle w:val="Normal"/>
        <w:jc w:val="center"/>
        <w:rPr>
          <w:b/>
          <w:b/>
          <w:sz w:val="32"/>
          <w:szCs w:val="32"/>
        </w:rPr>
      </w:pPr>
      <w:bookmarkStart w:id="2" w:name="__DdeLink__7399_1452463223"/>
      <w:r>
        <w:rPr>
          <w:b/>
          <w:sz w:val="24"/>
          <w:szCs w:val="24"/>
        </w:rPr>
        <w:t>Tulio Rosembuj</w:t>
      </w:r>
      <w:bookmarkEnd w:id="2"/>
    </w:p>
    <w:p>
      <w:pPr>
        <w:pStyle w:val="Normal"/>
        <w:jc w:val="center"/>
        <w:rPr>
          <w:sz w:val="20"/>
          <w:szCs w:val="20"/>
        </w:rPr>
      </w:pPr>
      <w:r>
        <w:rPr>
          <w:b w:val="false"/>
          <w:bCs w:val="false"/>
          <w:i/>
          <w:iCs/>
          <w:sz w:val="20"/>
          <w:szCs w:val="20"/>
        </w:rPr>
        <w:t>Former full Professor in Tax Law.</w:t>
      </w:r>
    </w:p>
    <w:p>
      <w:pPr>
        <w:pStyle w:val="Normal"/>
        <w:rPr>
          <w:b w:val="false"/>
          <w:b w:val="false"/>
          <w:bCs w:val="false"/>
          <w:sz w:val="20"/>
          <w:szCs w:val="20"/>
        </w:rPr>
      </w:pPr>
      <w:r>
        <w:rPr>
          <w:b w:val="false"/>
          <w:bCs w:val="false"/>
          <w:sz w:val="20"/>
          <w:szCs w:val="20"/>
        </w:rPr>
      </w:r>
    </w:p>
    <w:p>
      <w:pPr>
        <w:pStyle w:val="Normal"/>
        <w:rPr>
          <w:b/>
          <w:b/>
        </w:rPr>
      </w:pPr>
      <w:r>
        <w:rPr>
          <w:b/>
        </w:rPr>
      </w:r>
    </w:p>
    <w:p>
      <w:pPr>
        <w:pStyle w:val="Normal"/>
        <w:rPr>
          <w:b/>
          <w:b/>
        </w:rPr>
      </w:pPr>
      <w:r>
        <w:rPr>
          <w:b/>
        </w:rPr>
      </w:r>
    </w:p>
    <w:p>
      <w:pPr>
        <w:pStyle w:val="Normal"/>
        <w:rPr>
          <w:b/>
          <w:b/>
        </w:rPr>
      </w:pPr>
      <w:r>
        <w:rPr>
          <w:b/>
        </w:rPr>
      </w:r>
    </w:p>
    <w:p>
      <w:pPr>
        <w:pStyle w:val="Normal"/>
        <w:rPr>
          <w:b/>
          <w:b/>
        </w:rPr>
      </w:pPr>
      <w:r>
        <w:rPr>
          <w:rFonts w:ascii="Palatino Linotype" w:hAnsi="Palatino Linotype"/>
          <w:b/>
          <w:sz w:val="22"/>
          <w:szCs w:val="22"/>
        </w:rPr>
        <w:t>1. Personal data as raw material</w:t>
      </w:r>
    </w:p>
    <w:p>
      <w:pPr>
        <w:pStyle w:val="Normal"/>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Tessa Morris-Suzuki was the first to notice the emergence of a different stage in capitalism's evolution. And it is noteworthy that her prophecies are revealing, mainly because there was no Internet, the Web, or the digital good, which would later confirm them.[1]</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core of the reflection is the private appropriation of social knowledge and its conversion into a  corporate profit source. The economy shifts from the production of goods to the creation of innovation, "new knowledge for the making of goods."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correlative growth of knowledge producers addresses the reduction of the number of workers engaged in manufacturing production. The gain comes from exploiting the producer's knowledge. Every intangible has value and can be the object of transactions at a price (inventions, automation programs). It is another form of exploitation that opens new opportunities for the appropriation of economic surplus-value. The new source of profit is the "private appropriation of social knowledge".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private appropriation of the raw material is knowledge in itself. The free capture of common knowledge for its private appropriation as a source of corporate profit is the new stage of capitalism.</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"Whereas the knowledge which comes out of this commercial production process is the private property of the corporation, fenced around with monopoly barriers which in dow it with market value, the knowledge which goes in as raw material is mostly social knowledge, produced and owned jointly by society as a whole. The process which uses social knowledge to create private knowledge can generate profits far more substantial than those which could be obtained from the pure exploitation by the corporation of its workforce "[2].</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author anticipates the source of excess profits of the digital economy before it existed: the free use of the raw social material - personal data - which is transformed into a source of advantage by its private appropriation under industrial and intellectual protection. That is the transformation of the public domain into private property.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Innovation could be an excellent course of social benefits because it fuels the permanent desire for discovery and new knowledge. It appears distorted by the systematic vocation of profit that influences the patterns of the development of knowledge.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innovation activity leads to oligopolistic situations of market dominance, that grows and become consolidated by merit of the free social raw material to create private knowledge, as a source of surplus-value. The new capitalism gets the gain from their workers, but from all the users, at the time, identifiable as data workers.</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"On the indirect exploitation of the labor of everyone in returned in the maintenance, transmission, and expansion of social knowledge: parents, teachers, journalists- in the end, everybody</w:t>
      </w:r>
      <w:r>
        <w:rPr>
          <w:rFonts w:ascii="Palatino Linotype" w:hAnsi="Palatino Linotype"/>
          <w:sz w:val="22"/>
          <w:szCs w:val="22"/>
        </w:rPr>
        <w:t>" [3].</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Zuboff would call this surveillance capitalism.</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private appropriation of social knowledge is the form of digital economic income, and the raw material is the collective, general knowledge of all.</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Personal data is the first step of the collective knowledge of each one.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first subject, personal data, is configured as fragments, like fractals of the digital person, resulting from the free capture of collective knowledge." Data double "is the aspiration to abstract the digital reproduction of the digital person as if it were a person, freely available in different physical, timeless spaces, and separately integrated into series of discrete information flows, predisposed for their commercial use.</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"In a cybernetic world, surplus value increasingly refers to the profit derived from the surplus information that different populations trail behind them in their daily lives." [4].</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first matter of the data is the foundation of the object of algorithmic construction. The personal data collected evolve by the algorithm in production and manufacturing to a kind of artificial knowledge aimed at obtaining excess profits or pure information for other purposes, be they for security, control, or surveillance.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"The data harvested from individuals and fed into commercial systems of predictive analytics are framed as raw streams of observation to be gathered and then processed and systematized. "[5]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Personal data preexists double data; they are the essential person in its purest form. None of its references are divisible from the person who holds them and, in themselves, lack patrimonial value and are out of commerce: the right to privacy; to the body sphere; to personal freedom; the right to the name; to the image itself, its language, which is both the society where it is transmitted and the nation that makes it it's own.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Identity is the right to the personality of the person. Something that, paraphrasing Ferrara, guarantees the enjoyment of ourselves, assures each individual the seniority over his person, and the satisfaction of his physical and spiritual forces.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There is information that makes each person and that it is not appropriate to transfer to personal data organizations so that they extract from their use an infinite utility without their owner knowing it. Even if they know it, they can do nothing to avoid it. The digital person is not the person, and parts of the whole person split the personal data.</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appropriation of collective knowledge begins with that of personal data. Commercial exploitation of personal data does not seem consistent with the universal right to personality.  Datification promotes a qualifying resource for its reuse value, capable of eternity, repetition,  continuous and systematic application, having belonged to some, lost since that time the trace of his first identity.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transcendence of data collection, however small or incidental, proposes a round-trip chain in which the protagonist is the end-user.</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borrowed identity contributes to the creation of another person. The digital person who threatens that others algorithmically construct it of the person: a hypothetical and even distorting personality. [6]</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We are the data. Oil, corn, or wheat, or any other natural resource, is on the surface. Only its free extraction is needed, algorithmic data mining, for the appropriation of the public domain and commercialization as predictive products, under the protection of private possession.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Personal data is not a non-renewable resource, limited in quantity, and subject to scarcity. Its availability and reuse ensure long-term permanence and access are not hindered, until now, by law or tax, or insurmountable difficulties. Digital identity appears like a renewable natural resource, a raw material based on the person, but different.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The oil industry analysis offers characteristics that help understand the data digitization and its transformation into located predictive products.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Following Bridge, the oil industry can have six sequential work processes: exploration, extraction, refining, distribution, consumption, and coal capture.  The extractive industry means an appropriation of nature That has to do with the production of goods that modify social relations; the influence of the materiality of the resources on the organization of production - physical and chemical qualities, qualities of oil, the deposit of reserves and the ease of extraction - and, lastly, the territoriality of the resource, its location. The creation of value and the capture of income is verified by closing and exclusion, through property rights. [7]</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Surveillance capitalism observes a structure and function similar to the extractive industry. Data exploration, extraction, profiling, distribution, and use and the institution of proprietary rights for closure and exclusion of rivals. Free appropriation and dispossession of data; the material conditions that condition the person's behavior through the construction of predictive products based on concomitances in education, social habits; the infrastructure that influences them, and, finally, the territorial location of the users.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same it is appliable regarding the harvesting of raw materials within an industrial system of agriculture. Data, like raw materials, is both natural and cultivated, real, and highly artificial. Later the refineries originate by-products from the corn or wheat mills. So it is with data and data doubles.</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"After personal data have been cultivated and harvested, they are processed to generate patterns and predictions about consumer behavior and preferences." [8]</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first subject of the surveillance assembly is the digital perso</w:t>
      </w:r>
      <w:r>
        <w:rPr>
          <w:rFonts w:ascii="Palatino Linotype" w:hAnsi="Palatino Linotype"/>
          <w:i/>
          <w:sz w:val="22"/>
          <w:szCs w:val="22"/>
        </w:rPr>
        <w:t xml:space="preserve">n: </w:t>
      </w:r>
      <w:r>
        <w:rPr>
          <w:rFonts w:ascii="Palatino Linotype" w:hAnsi="Palatino Linotype"/>
          <w:sz w:val="22"/>
          <w:szCs w:val="22"/>
        </w:rPr>
        <w:t>"</w:t>
      </w:r>
      <w:r>
        <w:rPr>
          <w:rFonts w:ascii="Palatino Linotype" w:hAnsi="Palatino Linotype"/>
          <w:i/>
          <w:sz w:val="22"/>
          <w:szCs w:val="22"/>
        </w:rPr>
        <w:t>Today, however, we are witnessing the formation and coalescence of a new type of body, a form of becoming which transcends human corporeality and reduces flesh to pure information. Culled from the tentacles of the surveillant assemblage, this new body is our 'data dou</w:t>
      </w:r>
      <w:r>
        <w:rPr>
          <w:rFonts w:ascii="Palatino Linotype" w:hAnsi="Palatino Linotype"/>
          <w:sz w:val="22"/>
          <w:szCs w:val="22"/>
        </w:rPr>
        <w:t>ble'" [9]</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What are we talking about when we talk about the digital person?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raw material is the digital person, the personal data collected in masse for its algorithmic treatment. The digital person is not the person, but an approximation more or less closes, but not identical, which becomes an abstraction for its economic, political, social, commercial use. It is the human person stripped of the seigniory of identity on his signs and his body. Each of the elements that highlight the human becomes data, whether they are of an essential identification, gender, religion, nationality, social or psychological group,  interests, influences, inclinations, or merely bodily, of pure information.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t>
      </w:r>
      <w:r>
        <w:rPr>
          <w:rFonts w:ascii="Palatino Linotype" w:hAnsi="Palatino Linotype"/>
          <w:i/>
          <w:sz w:val="22"/>
          <w:szCs w:val="22"/>
        </w:rPr>
        <w:t>Thus, the complete decision on what a person's identity is can be transferred to systems that order the information received according to their logic and projected their" own "representation of the person abroad ... You are what Google says you are: and on this basis, the person is known and classified, projections of his possible future decisions are built, so that the person risks being valued for his propensities and not for his actions."</w:t>
      </w:r>
      <w:r>
        <w:rPr>
          <w:rFonts w:ascii="Palatino Linotype" w:hAnsi="Palatino Linotype"/>
          <w:sz w:val="22"/>
          <w:szCs w:val="22"/>
        </w:rPr>
        <w:t>[10]</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person loses his origin to join a mass concert, the more collective, the better, supported by correlations, abstractions, algorithmic generalizations, which reveal proximity, concomitance, or, on the contrary, distance.</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 xml:space="preserve">"Our big data-algorithmic identities are statistically ordained by correlation and nothing else." [11]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representation of the collective digital person acquires all its meaning in algorithmic abstraction, creating ideal models of data. Beyond generalization, the concept is a program of intentions in itself, aimed at obtaining certain types of results than others and without any surprise in the purpose, e.g., pricing algorithms.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collective and abstract digital person adopts a future value that exceeds its beginning. It is a construction, for the purpose that is deemed appropriate, without space or time containing it. Unlike the person, the digital person is eternal and operational in different digital areas and at different times. It is a renewable raw material, of infinite reuse. It lacks the date of birth and death. The versatility of its composition allows it to act in as many modalities as the programmer's imagination allows.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collective and abstract digital person, imbued with eternity, can also be and not be anywhere and at all at the same time. It is what D.Quah  qualifies as aespatial. But, it is capable of localization in the digital space where it lays the foundation of the platform's power.</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space person is, at the same time, the essential component of the digital market, of the market where the immobility of the user  resides. The digital person is not the same as a component of transactions in one place than in another. Its effectiveness depends on contemplating the network effect, capturing the personal data of users who find it according to their propensity. The digital market is a national market, by definition, where the homogeneity and diversity of civil society, its inclinations, and preferences, its interests and behaviors can be assessed.</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Achilles heel of the digital person is that without personal data, they cannot generate economic income, which forces their accumulation without truce. Personal data is always local, domestic, national market data. Let's say that the digital person is, by definition, national, and he has no present and no future without that cultural identity. Personal data show the past of each of us in a specific social historic territory.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rPr>
          <w:rFonts w:ascii="Palatino Linotype" w:hAnsi="Palatino Linotype"/>
          <w:b/>
          <w:b/>
          <w:sz w:val="22"/>
          <w:szCs w:val="22"/>
        </w:rPr>
      </w:pPr>
      <w:r>
        <w:rPr>
          <w:rFonts w:ascii="Palatino Linotype" w:hAnsi="Palatino Linotype"/>
          <w:b/>
          <w:sz w:val="22"/>
          <w:szCs w:val="22"/>
        </w:rPr>
      </w:r>
    </w:p>
    <w:p>
      <w:pPr>
        <w:pStyle w:val="Normal"/>
        <w:rPr>
          <w:b/>
          <w:b/>
        </w:rPr>
      </w:pPr>
      <w:r>
        <w:rPr>
          <w:rFonts w:ascii="Palatino Linotype" w:hAnsi="Palatino Linotype"/>
          <w:b/>
          <w:sz w:val="22"/>
          <w:szCs w:val="22"/>
        </w:rPr>
        <w:t>2. The digital person is a natural resource.</w:t>
      </w:r>
    </w:p>
    <w:p>
      <w:pPr>
        <w:pStyle w:val="Normal"/>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left"/>
        <w:rPr>
          <w:rFonts w:ascii="Palatino Linotype" w:hAnsi="Palatino Linotype"/>
          <w:sz w:val="22"/>
          <w:szCs w:val="22"/>
        </w:rPr>
      </w:pPr>
      <w:r>
        <w:rPr>
          <w:rFonts w:ascii="Palatino Linotype" w:hAnsi="Palatino Linotype"/>
          <w:sz w:val="22"/>
          <w:szCs w:val="22"/>
        </w:rPr>
        <w:t>The digital person is the raw material of the digital natural resource in each of the countries where real people operate or intend to do so.</w:t>
      </w:r>
    </w:p>
    <w:p>
      <w:pPr>
        <w:pStyle w:val="Normal"/>
        <w:widowControl/>
        <w:bidi w:val="0"/>
        <w:ind w:left="0" w:right="0" w:firstLine="283"/>
        <w:jc w:val="left"/>
        <w:rPr>
          <w:rFonts w:ascii="Palatino Linotype" w:hAnsi="Palatino Linotype"/>
          <w:sz w:val="22"/>
          <w:szCs w:val="22"/>
        </w:rPr>
      </w:pPr>
      <w:r>
        <w:rPr>
          <w:rFonts w:ascii="Palatino Linotype" w:hAnsi="Palatino Linotype"/>
          <w:sz w:val="22"/>
          <w:szCs w:val="22"/>
        </w:rPr>
        <w:t>What is a natural resource?</w:t>
      </w:r>
    </w:p>
    <w:p>
      <w:pPr>
        <w:pStyle w:val="Normal"/>
        <w:widowControl/>
        <w:bidi w:val="0"/>
        <w:ind w:left="0" w:right="0" w:firstLine="283"/>
        <w:jc w:val="left"/>
        <w:rPr>
          <w:rFonts w:ascii="Palatino Linotype" w:hAnsi="Palatino Linotype"/>
          <w:sz w:val="22"/>
          <w:szCs w:val="22"/>
        </w:rPr>
      </w:pPr>
      <w:r>
        <w:rPr>
          <w:rFonts w:ascii="Palatino Linotype" w:hAnsi="Palatino Linotype"/>
          <w:sz w:val="22"/>
          <w:szCs w:val="22"/>
        </w:rPr>
        <w:t>In the WTO definition</w:t>
      </w:r>
    </w:p>
    <w:p>
      <w:pPr>
        <w:pStyle w:val="Normal"/>
        <w:widowControl/>
        <w:bidi w:val="0"/>
        <w:ind w:left="0" w:right="0" w:firstLine="283"/>
        <w:jc w:val="left"/>
        <w:rPr>
          <w:rFonts w:ascii="Palatino Linotype" w:hAnsi="Palatino Linotype"/>
          <w:sz w:val="22"/>
          <w:szCs w:val="22"/>
        </w:rPr>
      </w:pPr>
      <w:r>
        <w:rPr>
          <w:rFonts w:ascii="Palatino Linotype" w:hAnsi="Palatino Linotype"/>
          <w:i/>
          <w:sz w:val="22"/>
          <w:szCs w:val="22"/>
        </w:rPr>
        <w:t xml:space="preserve">"Stocks of materials that exist in the natural environment that are both scarce and economically useful in production or consumption, either in their raw state or after a minimal amount of processing." </w:t>
      </w:r>
      <w:r>
        <w:rPr>
          <w:rFonts w:ascii="Palatino Linotype" w:hAnsi="Palatino Linotype"/>
          <w:sz w:val="22"/>
          <w:szCs w:val="22"/>
        </w:rPr>
        <w:t>[12]</w:t>
      </w:r>
    </w:p>
    <w:p>
      <w:pPr>
        <w:pStyle w:val="Normal"/>
        <w:widowControl/>
        <w:bidi w:val="0"/>
        <w:ind w:left="0" w:right="0" w:firstLine="283"/>
        <w:jc w:val="left"/>
        <w:rPr>
          <w:rFonts w:ascii="Palatino Linotype" w:hAnsi="Palatino Linotype"/>
          <w:sz w:val="22"/>
          <w:szCs w:val="22"/>
        </w:rPr>
      </w:pPr>
      <w:r>
        <w:rPr>
          <w:rFonts w:ascii="Palatino Linotype" w:hAnsi="Palatino Linotype"/>
          <w:sz w:val="22"/>
          <w:szCs w:val="22"/>
        </w:rPr>
        <w:t>Natural resources can be ubiquitous, air, water, or non-ubiquitous, copper, iron. The digital person is a non-ubiquitous natural resource because it occurs in specific and determined territories such as the Nation-State. These non-ubiquitous resources are considered localized resources. Natural capital has two components: Abiotic comprising underground assets,e,g, fossil fuels, metals, minerals, and abiotic flows, e.g., renewable energies.</w:t>
      </w:r>
    </w:p>
    <w:p>
      <w:pPr>
        <w:pStyle w:val="Normal"/>
        <w:widowControl/>
        <w:bidi w:val="0"/>
        <w:ind w:left="0" w:right="0" w:firstLine="283"/>
        <w:jc w:val="left"/>
        <w:rPr>
          <w:rFonts w:ascii="Palatino Linotype" w:hAnsi="Palatino Linotype"/>
          <w:sz w:val="22"/>
          <w:szCs w:val="22"/>
        </w:rPr>
      </w:pPr>
      <w:r>
        <w:rPr>
          <w:rFonts w:ascii="Palatino Linotype" w:hAnsi="Palatino Linotype"/>
          <w:sz w:val="22"/>
          <w:szCs w:val="22"/>
        </w:rPr>
        <w:t>Biotic, which consists of the ecosystems that satisfy public needs. such as forests, animals, fish. The Earth's biosphere is the zone of life that goes from the deepest within the Earth to the atmosphere. The Internet is the human creation of a digital biosphere.[13]</w:t>
      </w:r>
    </w:p>
    <w:p>
      <w:pPr>
        <w:pStyle w:val="Normal"/>
        <w:widowControl/>
        <w:bidi w:val="0"/>
        <w:ind w:left="0" w:right="0" w:firstLine="283"/>
        <w:jc w:val="left"/>
        <w:rPr>
          <w:rFonts w:ascii="Palatino Linotype" w:hAnsi="Palatino Linotype"/>
          <w:sz w:val="22"/>
          <w:szCs w:val="22"/>
        </w:rPr>
      </w:pPr>
      <w:r>
        <w:rPr>
          <w:rFonts w:ascii="Palatino Linotype" w:hAnsi="Palatino Linotype"/>
          <w:i/>
          <w:sz w:val="22"/>
          <w:szCs w:val="22"/>
        </w:rPr>
        <w:t xml:space="preserve">"The increasing importance of data warrants treating it at par with other resources on which a country would have sovereign rights.  Data is the new oil. Therefore, just like oil or any other natural resource, it is essential to protect data, prevent its misuse, regulate the use and processing of data, and address the concerns related to privacy and security. </w:t>
      </w:r>
      <w:r>
        <w:rPr>
          <w:rFonts w:ascii="Palatino Linotype" w:hAnsi="Palatino Linotype"/>
          <w:sz w:val="22"/>
          <w:szCs w:val="22"/>
        </w:rPr>
        <w:t>[14]</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The digital person originates from the natural social human environment and is economically usable as raw material for predictive products or informational merchandise. It is both natural and artificial.</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Unlike natural resources, oil, iron, minerals, it is not a scarcity material. The digital person postulates an infinite expansion that can be used repeatedly without additional costs.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person has all the attributes of abundance that makes them inexhaustible and algorithmically profitable for their economic use. The digital person is a derivative of the person, the fruit of the digital environment.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person is an asset of natural capital, different from the physical or human capital, whose source is the person and promotes the surveillance economy through its treatment.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person is a natural resource based on the appropriation and capture of personal data, of people, at any time and place, and that becomes economically useful for its exploitation and transformation into a predictive product or informational merchandise.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person is a renewable resource, ideal for their replenishment and recovery that far exceeds their consumption rate. Their permanence is not threatened by exhaustion, as is the case with non-renewable resources. Its quantity is unlimited, and its versatility is infinite. The digital person does not have a date of birth or death. It is for use without expiration time. If it were not so, as a non-renewable resource, it would risk its existence in quantity and renewal of itself over time.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person is a universal resource and different from most of the natural resources. It is not concentrated in a small number of countries. Its distribution throughout the states follows the local population's social, political, cultural, and economic signs. Unlike other raw materials, oil, for example, there is no risk of disparity in its global distribution unless they are the consequence of the division between industrialized and developing countries. The digital person is under the fiduciary or public domain of each national jurisdiction as it happens with any other natural resource placed in its territory.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The digital person has the local population as a factor of immobility. The ownership of the public domain of the data corresponds to each people in each Nation-State. The embeddedness space of the digital person is the primary source of profit for the digital industry.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The capture of data and its manufacture, like other natural resources, of the mining or fishing type, need the location State's legal discipline. Like other natural resources, they might entail serious negative externalities. It breaks the social and cultural identity of the community, through manipulation and disinformation.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purpose of the digital person is its economic exploitation. The very survival of platforms providers of the digital persons depends on the users in each country,  each sector, each region. It is not enough with the actual information, but it is necessary to increase it in all directions intended to increase the network effect.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natural resource of the digital person has an economic value as marketable informational merchandise. It is fictitious merchandise, which comes close to others that Polanyi described at the time as such: work, land, and currency.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Paraphrasing Polanyi, it can be said that the digital person, like work, is just another name for a human activity that accompanies life itself, which is not for sale, but for entirely different reasons, nor can this activity separate from life, accumulate or mobilize.[15]</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Personal data are not goods in the real sense, but they acquire the virtue as such of being products subject to price, for sale in the market. Informational goods or predictive products are intangibles that result in mass transformation processes and whose distribution occurs as if they were material, physical goods.</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"Our algorithmic identities are made through data and only data. It is a process that gleans from databases; It reads our behavior s as data, our social ties as data, and our bodies as data. And it conditions our present and futures based on dynamic interpretation of that reading. "[16]</w:t>
      </w:r>
    </w:p>
    <w:p>
      <w:pPr>
        <w:pStyle w:val="Normal"/>
        <w:widowControl/>
        <w:bidi w:val="0"/>
        <w:ind w:left="0" w:right="0" w:firstLine="283"/>
        <w:jc w:val="both"/>
        <w:rPr>
          <w:i/>
          <w:i/>
        </w:rPr>
      </w:pPr>
      <w:r>
        <w:rPr>
          <w:rFonts w:ascii="Palatino Linotype" w:hAnsi="Palatino Linotype"/>
          <w:sz w:val="22"/>
          <w:szCs w:val="22"/>
        </w:rPr>
      </w:r>
    </w:p>
    <w:p>
      <w:pPr>
        <w:pStyle w:val="Normal"/>
        <w:rPr>
          <w:rFonts w:ascii="Palatino Linotype" w:hAnsi="Palatino Linotype"/>
          <w:b/>
          <w:b/>
          <w:sz w:val="22"/>
          <w:szCs w:val="22"/>
        </w:rPr>
      </w:pPr>
      <w:r>
        <w:rPr>
          <w:rFonts w:ascii="Palatino Linotype" w:hAnsi="Palatino Linotype"/>
          <w:b/>
          <w:sz w:val="22"/>
          <w:szCs w:val="22"/>
        </w:rPr>
      </w:r>
    </w:p>
    <w:p>
      <w:pPr>
        <w:pStyle w:val="Normal"/>
        <w:rPr>
          <w:rFonts w:ascii="Palatino Linotype" w:hAnsi="Palatino Linotype"/>
          <w:sz w:val="22"/>
          <w:szCs w:val="22"/>
        </w:rPr>
      </w:pPr>
      <w:r>
        <w:rPr>
          <w:rFonts w:ascii="Palatino Linotype" w:hAnsi="Palatino Linotype"/>
          <w:b/>
          <w:sz w:val="22"/>
          <w:szCs w:val="22"/>
        </w:rPr>
        <w:t>3. From natural resources to natural capital. Contribution to the person</w:t>
      </w:r>
      <w:r>
        <w:rPr>
          <w:rFonts w:ascii="Palatino Linotype" w:hAnsi="Palatino Linotype"/>
          <w:sz w:val="22"/>
          <w:szCs w:val="22"/>
        </w:rPr>
        <w:t>.</w:t>
      </w:r>
    </w:p>
    <w:p>
      <w:pPr>
        <w:pStyle w:val="Normal"/>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Natural capital is a concept related to the stock of renewable and non-renewable resources, e.g., plants, animals, air, water, soils, minerals that combine to generate a flow of benefits for people. [17]</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Natural capital is a utilitarian economic approach to nature. An accent to </w:t>
      </w:r>
    </w:p>
    <w:p>
      <w:pPr>
        <w:pStyle w:val="Normal"/>
        <w:jc w:val="both"/>
        <w:rPr>
          <w:rFonts w:ascii="Palatino Linotype" w:hAnsi="Palatino Linotype"/>
          <w:sz w:val="22"/>
          <w:szCs w:val="22"/>
        </w:rPr>
      </w:pPr>
      <w:r>
        <w:rPr>
          <w:rFonts w:ascii="Palatino Linotype" w:hAnsi="Palatino Linotype"/>
          <w:sz w:val="22"/>
          <w:szCs w:val="22"/>
        </w:rPr>
        <w:t>those aspects of it that the person uses or can use as a source of derived benefits as ecosystem services. The economic analysis of nature raises doubts about the breadth of the definition. It can lead to methodological contamination of the process related to the market and narrow the field of knowledge to other areas such as sociology, culture, and freedoms of choice and action. It is a definition that leaves out everything that is not strictly environmental science and economy.</w:t>
      </w:r>
    </w:p>
    <w:p>
      <w:pPr>
        <w:pStyle w:val="Normal"/>
        <w:rPr>
          <w:rFonts w:ascii="Palatino Linotype" w:hAnsi="Palatino Linotype"/>
          <w:sz w:val="22"/>
          <w:szCs w:val="22"/>
        </w:rPr>
      </w:pPr>
      <w:r>
        <w:rPr>
          <w:rFonts w:ascii="Palatino Linotype" w:hAnsi="Palatino Linotype"/>
          <w:sz w:val="22"/>
          <w:szCs w:val="22"/>
        </w:rPr>
        <w:t xml:space="preserve">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Platform Intergovernmental Scientific - Normative Diversity Biological and Ecosystem Services (IPBES) produced in 2019 a comprehensive report on the starting point of natural capital. The basic concept is that of nature's contributions to people, which allows for a broader and more versatile knowledge of the relationships between people, the environment, and society. A sourceless not only attached to the market economy with a clear vocation natural and social sciences, humanities, and knowledge of professionals and indigenous and local communities.[18]</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"For contributions of nature to peoples and they understand all contributions that humanity derives from nature. Ecosystem goods and services, examined separately or together, are included in this category. Within other knowledge systems, the gifts of nature and other similar concepts refer to the benefits of nature from which people obtain a good quality of life. This broad category also includes aspects of nature that can be negative for people (harm), such as pests, pathogens, or predators. "[19]</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The contributions of nature to people also include </w:t>
      </w:r>
      <w:r>
        <w:rPr>
          <w:rFonts w:ascii="Palatino Linotype" w:hAnsi="Palatino Linotype"/>
          <w:b/>
          <w:sz w:val="22"/>
          <w:szCs w:val="22"/>
        </w:rPr>
        <w:t>anthropogenic assets</w:t>
      </w:r>
      <w:r>
        <w:rPr>
          <w:rFonts w:ascii="Palatino Linotype" w:hAnsi="Palatino Linotype"/>
          <w:sz w:val="22"/>
          <w:szCs w:val="22"/>
        </w:rPr>
        <w:t>, benefits that are produced jointly between the environment and society. Firstly, knowledge, education, technical or scientific knowledge, relationships of trust, language.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Language is a first-rate anthropogenic asset for the consolidation of the immaterial dimensions of nature's contribution to people because it nurtures the sense of cultural identity.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"Feeling of belonging to one or more social groups (as related, for instance, to locality , country, ethnicity , religion , activity , gender , generation ) being respected for self-determination, practice of language , education and transmission , activities related to intangible values and culturally-valued means of existence ." [20]</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Digitization is not unrelated to the requirement to contribute to the quality of life that nature provides to the person. Their contribution is not produced exclusively through biophysical processes, but interacting with anthropogenic assets, such as language, knowledge, cultural, spiritual values ​​, and the institutions that have fiduciary responsibility for their conservation and reproduction.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interaction can be positive or negative. The predatory offensive of the digital platform, whose base is the digital person, acts to the detriment nature's contribution to people,e.g., manipulation and disinformation. The result of economic exploitation disregard any of the immaterial dimensions that indicate the freedom of choice and action of the person, her beliefs, the cultural and social values that accompany her. The digital person is the felled tree or the mined ore.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Culture appears, unlike natural capital, as a determining factor in the relationships between nature and people.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contributions of nature to people are all those that affect their quality of life, including the material and immaterial dimensions. The protection falls within the jurisdiction where nature provides service to people.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rPr>
          <w:rFonts w:ascii="Palatino Linotype" w:hAnsi="Palatino Linotype"/>
          <w:sz w:val="22"/>
          <w:szCs w:val="22"/>
        </w:rPr>
      </w:pPr>
      <w:r>
        <w:rPr>
          <w:rFonts w:ascii="Palatino Linotype" w:hAnsi="Palatino Linotype"/>
          <w:sz w:val="22"/>
          <w:szCs w:val="22"/>
        </w:rPr>
        <w:t xml:space="preserve"> </w:t>
      </w:r>
    </w:p>
    <w:p>
      <w:pPr>
        <w:pStyle w:val="Normal"/>
        <w:rPr>
          <w:b/>
          <w:b/>
        </w:rPr>
      </w:pPr>
      <w:r>
        <w:rPr>
          <w:rFonts w:ascii="Palatino Linotype" w:hAnsi="Palatino Linotype"/>
          <w:b/>
          <w:sz w:val="22"/>
          <w:szCs w:val="22"/>
        </w:rPr>
        <w:t xml:space="preserve"> </w:t>
      </w:r>
      <w:r>
        <w:rPr>
          <w:rFonts w:ascii="Palatino Linotype" w:hAnsi="Palatino Linotype"/>
          <w:b/>
          <w:sz w:val="22"/>
          <w:szCs w:val="22"/>
        </w:rPr>
        <w:t>4. The personal data belongs to the Nation-State, where it is recognized and located.</w:t>
      </w:r>
    </w:p>
    <w:p>
      <w:pPr>
        <w:pStyle w:val="Normal"/>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immobility factor of the person in each country allows platforms to accumulate with more personal data, feeding the stock digital people. The digital person is the raw material of the natural resource. The logical output comes from the people of the Nation-State from where the platforms collect personal data and transform it into merchandise. The identity of people is the identity of the community and the identity of the Nation-State. The appropriation and capture of the digital person is the disaggregation of the community and the Nation-State. Natural resources are under to fiduciary sovereignty of each State, precisely like the raw materials within its territory.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Jean L. Cohen states that </w:t>
      </w:r>
      <w:r>
        <w:rPr>
          <w:rFonts w:ascii="Palatino Linotype" w:hAnsi="Palatino Linotype"/>
          <w:i/>
          <w:sz w:val="22"/>
          <w:szCs w:val="22"/>
        </w:rPr>
        <w:t xml:space="preserve">"the nation-state still exists and remains sovereign "in many respects ... The State continues to exercise the judicial authority, the sanctioning power, and coercion vis-a-vis those in their territory. </w:t>
      </w:r>
      <w:r>
        <w:rPr>
          <w:rFonts w:ascii="Palatino Linotype" w:hAnsi="Palatino Linotype"/>
          <w:sz w:val="22"/>
          <w:szCs w:val="22"/>
        </w:rPr>
        <w:t>"[21]</w:t>
      </w:r>
    </w:p>
    <w:p>
      <w:pPr>
        <w:pStyle w:val="Normal"/>
        <w:rPr>
          <w:rFonts w:ascii="Palatino Linotype" w:hAnsi="Palatino Linotype"/>
          <w:sz w:val="22"/>
          <w:szCs w:val="22"/>
        </w:rPr>
      </w:pPr>
      <w:r>
        <w:rPr>
          <w:rFonts w:ascii="Palatino Linotype" w:hAnsi="Palatino Linotype"/>
          <w:sz w:val="22"/>
          <w:szCs w:val="22"/>
        </w:rPr>
        <w:t xml:space="preserve">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The return of the nation-state shows its relevance in its essential aspects. Its territory, community, power of coercion and jurisdiction, and the preservation of natural resources and ecosystems services. Cohen aspires to a logic of articulation between the new sovereignty in action and the growing influence of global politics. The encounter between independence and global discipline calls for compatibility between sovereign equality between states and the common principles and standards, basically informal or informal, of the worldwide fact; but in the direction of the global norm's constitutionalization. [22]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State cannot renounce the protection of its bases in matters of work, markets, finances, taxation, which may threaten its local and democratic practices. The BEPS was born for the protection of national tax bases. Globalization cannot leave the State unarmed over its power, government, and governance or refusing its difference in needs, social, cultural and political preferences, economics, which have to do with their identity.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t>
      </w:r>
      <w:r>
        <w:rPr>
          <w:rFonts w:ascii="Palatino Linotype" w:hAnsi="Palatino Linotype"/>
          <w:i/>
          <w:sz w:val="22"/>
          <w:szCs w:val="22"/>
        </w:rPr>
        <w:t>We need to accept the right of individual countries to safeguard their domestic institutional choices. The recognition of institutional diversity would be meaningless if nations were unable to "protect" domestic institutions - if they did not have the instruments available to shape and maintain their institutions</w:t>
      </w:r>
      <w:r>
        <w:rPr>
          <w:rFonts w:ascii="Palatino Linotype" w:hAnsi="Palatino Linotype"/>
          <w:sz w:val="22"/>
          <w:szCs w:val="22"/>
        </w:rPr>
        <w:t>." [23]</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India, in a recent document, defines and defends its sovereign right over the digital person, over the data of its citizens and does it in a clear and precise way, as it already did in the introduction of the Equalization Levy.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data of a country is a collective resource, a national asset that the government manages in the confidence of its citizens. The best analogy is that of the mine as a natural resource or the spectrum.</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"India and its citizens have a sovereign right to their data. This understanding flows from the acknowledgment that data about an Indian is his / her own. Data can, therefore, best be likened to a societal commons'. National data of various forms is a national resource that should be equitably accessed by all Indians. The same way that non-Indians do not have access to the national resources on the same jogging as Indians, non-Indians do not have equal rights to access Indian data. Thus, the e-commerce policy is about how best to exploit this national resource". [24]</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freedom of the citizen in his community is a public good that needs protection from the threat of third parties that endanger it. The public good is a duty of the government, and citizens are, in this sense, the custodian's leading destination because there is no other natural resource that is more a national resource than the commons` social community.</w:t>
      </w:r>
    </w:p>
    <w:p>
      <w:pPr>
        <w:pStyle w:val="Normal"/>
        <w:rPr>
          <w:rFonts w:ascii="Palatino Linotype" w:hAnsi="Palatino Linotype"/>
          <w:b/>
          <w:b/>
          <w:sz w:val="22"/>
          <w:szCs w:val="22"/>
        </w:rPr>
      </w:pPr>
      <w:r>
        <w:rPr>
          <w:rFonts w:ascii="Palatino Linotype" w:hAnsi="Palatino Linotype"/>
          <w:b/>
          <w:sz w:val="22"/>
          <w:szCs w:val="22"/>
        </w:rPr>
      </w:r>
    </w:p>
    <w:p>
      <w:pPr>
        <w:pStyle w:val="Normal"/>
        <w:rPr>
          <w:rFonts w:ascii="Palatino Linotype" w:hAnsi="Palatino Linotype"/>
          <w:b/>
          <w:b/>
          <w:sz w:val="22"/>
          <w:szCs w:val="22"/>
        </w:rPr>
      </w:pPr>
      <w:r>
        <w:rPr>
          <w:rFonts w:ascii="Palatino Linotype" w:hAnsi="Palatino Linotype"/>
          <w:b/>
          <w:sz w:val="22"/>
          <w:szCs w:val="22"/>
        </w:rPr>
      </w:r>
    </w:p>
    <w:p>
      <w:pPr>
        <w:pStyle w:val="Normal"/>
        <w:rPr>
          <w:b/>
          <w:b/>
        </w:rPr>
      </w:pPr>
      <w:r>
        <w:rPr>
          <w:rFonts w:ascii="Palatino Linotype" w:hAnsi="Palatino Linotype"/>
          <w:b/>
          <w:sz w:val="22"/>
          <w:szCs w:val="22"/>
        </w:rPr>
        <w:t>5. The specific location rent of the users.</w:t>
      </w:r>
    </w:p>
    <w:p>
      <w:pPr>
        <w:pStyle w:val="Normal"/>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rent derived from the exploitation of personal data is a natural resource of the people that inhabit the Nation-State. Its protection is proper to the jurisdiction where its source is. It is a concrete action of the right of each State to protect its taxable base.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It is a rent that comes from data mining, never better expressed, under the governance and economic power of digital global value chains. The free accumulation, repository, treatment, and manufacture of informational commodities of the raw material is an underlying condition of monopoly.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Cui identifies the creation of value by the user to individualize the specific location of the surplus-value of the producer. Where the user is is the place where the State can capture the rents of specific locations created by the digital platforms in their territory.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taxpayers are the digital platforms that generate market power through their network effects, two or more sided business models, irrelevant marginal cost, and geographic mobility in the location of the performance of the service and the recognition of the benefit.</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"The idea is to allow the country where the rent is located to tax the rent. Research on the industrial organization of digital platforms has revealed a rich variety of ways to earn supra-normal profits. ".[25]</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rent is a specific location rent that originates in the countries where the user resides. It is a rent similar to those who derive from natural resources with defined locations. To the extent that the user allows to obtain benefits to the platform for the use of data, it is easy to deduce that the taxation rights derived correspond in part to the users' location.</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"The" mining "of data could be directly analogized to the mining of natural resources."</w:t>
      </w:r>
      <w:r>
        <w:rPr>
          <w:rFonts w:ascii="Palatino Linotype" w:hAnsi="Palatino Linotype"/>
          <w:sz w:val="22"/>
          <w:szCs w:val="22"/>
        </w:rPr>
        <w:t xml:space="preserve"> [26]</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user creates the value of the digital service in the territory where he is. From its location comes the income and surplus-value of the global digital chain. Data is a natural resource located and under the jurisdiction of the Nation-State.</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"In the context of services provided by digital platforms, the applicable concept we advocate is the Ricardian definition of rent." [2</w:t>
      </w:r>
      <w:r>
        <w:rPr>
          <w:rFonts w:ascii="Palatino Linotype" w:hAnsi="Palatino Linotype"/>
          <w:sz w:val="22"/>
          <w:szCs w:val="22"/>
        </w:rPr>
        <w:t>7]</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Ricardian income defines the rent from the user to the platform: the amount earned by a production factor or a resource more than the sum necessary for the resource provision. What for Hobson and Griziotti constituted excess profits, unearned income of a monopolistic nature.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For D. Ricardo, the economic rent was a transfer of profit to the agricultural owners simply because they had a monopoly on scarce resources such as land. The rent was the farmer's payment to the owner, a consequence of the unequal distribution of land ownership. </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"The classical economists (such as Ricardo) argued that economic rent accrues based on unequal ownership/access or control over an existing scarce resource (eg.lands).[28]</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Ricardian income was an unearned income, a transfer from the productive to the unproductive sector, which does not serve reproduction. Instead, it is parasitism of the economic system. And its breadth includes not only land, but also extractive natural resources - mining, hydrocarbons, minerals, food - and, likewise, the data freely owned in the digital economy.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t>
      </w:r>
      <w:r>
        <w:rPr>
          <w:rFonts w:ascii="Palatino Linotype" w:hAnsi="Palatino Linotype"/>
          <w:i/>
          <w:sz w:val="22"/>
          <w:szCs w:val="22"/>
        </w:rPr>
        <w:t xml:space="preserve">This leads to a natural justification of the taxation of such rent  and the jurisdiction where the users are located. If the right to tax is the sovereign right of the State over its residents, in exchange for the provision of protection and access to public goods and institutions, then the State is within its rights to tax the rent appropriated by a (non-resident) platform whenever that State's resident individuals create the value of this rent." </w:t>
      </w:r>
      <w:r>
        <w:rPr>
          <w:rFonts w:ascii="Palatino Linotype" w:hAnsi="Palatino Linotype"/>
          <w:sz w:val="22"/>
          <w:szCs w:val="22"/>
        </w:rPr>
        <w:t>[29]</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tax compliance concerns the advantages that the taxpayer procures for his allegiance to the community through the public goods that he uses or enjoys. The allegiance allows him to live and act in a territory: a place of residence or as a place where it carries out taxable events - income, consumption, transmissions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factors were pointed out by B.Griziotti.[30]</w:t>
      </w:r>
    </w:p>
    <w:p>
      <w:pPr>
        <w:pStyle w:val="Normal"/>
        <w:jc w:val="both"/>
        <w:rPr>
          <w:rFonts w:ascii="Palatino Linotype" w:hAnsi="Palatino Linotype"/>
          <w:sz w:val="22"/>
          <w:szCs w:val="22"/>
        </w:rPr>
      </w:pPr>
      <w:r>
        <w:rPr>
          <w:rFonts w:ascii="Palatino Linotype" w:hAnsi="Palatino Linotype"/>
          <w:sz w:val="22"/>
          <w:szCs w:val="22"/>
        </w:rPr>
        <w:t>- The general advantages derived from belonging to a political, economic, and social group.</w:t>
      </w:r>
    </w:p>
    <w:p>
      <w:pPr>
        <w:pStyle w:val="Normal"/>
        <w:rPr>
          <w:rFonts w:ascii="Palatino Linotype" w:hAnsi="Palatino Linotype"/>
          <w:sz w:val="22"/>
          <w:szCs w:val="22"/>
        </w:rPr>
      </w:pPr>
      <w:r>
        <w:rPr>
          <w:rFonts w:ascii="Palatino Linotype" w:hAnsi="Palatino Linotype"/>
          <w:sz w:val="22"/>
          <w:szCs w:val="22"/>
        </w:rPr>
        <w:t>- The particular advantages derived from social activity.</w:t>
      </w:r>
    </w:p>
    <w:p>
      <w:pPr>
        <w:pStyle w:val="Normal"/>
        <w:rPr>
          <w:rFonts w:ascii="Palatino Linotype" w:hAnsi="Palatino Linotype"/>
          <w:sz w:val="22"/>
          <w:szCs w:val="22"/>
        </w:rPr>
      </w:pPr>
      <w:r>
        <w:rPr>
          <w:rFonts w:ascii="Palatino Linotype" w:hAnsi="Palatino Linotype"/>
          <w:sz w:val="22"/>
          <w:szCs w:val="22"/>
        </w:rPr>
        <w:t>- The ability to pay of the individual to contribute to the collective life for the public goods offered.</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The relationship between the taxpayer and the tax authority in a given territory is a function of their political, social, and economic allegiance to a State, which taxes economic results based on the ability to pay for the advantages that "collective economic life" means.[31]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location of users is a manifestation of the ability to pay in the State-Nation where they are. The creation of digital value by the user configures a right of State taxation on the income or rents extracted by non-resident digital platforms.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The income derived from the user's data collection  ( data-input)  is the basic model for the opportunity of great benefits above what can be considered normal return ( excess profits). Manufacturing in the predictive product, informational commodity, leads to behavioral surplus.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F. Maffezzoni maintains that it is not the territoriality of a fact that confers the qualification of the ability to pay indicator. On the contrary, it is the ability to pay that gives territoriality.[32]</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The ability to pay off the user grants its territoriality, a form of rent of a specific location. </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"After all, the data is about users in particular locations."</w:t>
      </w:r>
      <w:r>
        <w:rPr>
          <w:rFonts w:ascii="Palatino Linotype" w:hAnsi="Palatino Linotype"/>
          <w:sz w:val="22"/>
          <w:szCs w:val="22"/>
        </w:rPr>
        <w:t xml:space="preserve"> [33]</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State's tax power  can be deployed in its territory because there is an income borne for the user's specific location, member of his community.</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 and after analyzing the role and contribution made by the users by way of data, content creation and the networking benefits, consider that users are a significant indicator of both nexus and creation of value in the jurisdiction of the source. In the view of the Committee, the presence of users of a digital or telecommunication network in a multi-dimensional business model means value creation and economic participation in that tax jurisdiction and should give rise to the threshold nexus for taxing that enterprise in that jurisdiction, particularly, when such user contribution is relied upon for earning income from that jurisdiction</w:t>
      </w:r>
      <w:r>
        <w:rPr>
          <w:rFonts w:ascii="Palatino Linotype" w:hAnsi="Palatino Linotype"/>
          <w:sz w:val="22"/>
          <w:szCs w:val="22"/>
        </w:rPr>
        <w:t>. "[34]</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Data extraction is an ideal natural resource rent for establishing a tax that captures the "pure benefit" without costs. The rent from natural resources are royalties that belong to the State, fiduciary owner of the data. They are justified taxes designed to capture the rent resource, such as the extraction of oil or gas.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data belongs to the people; the Administration is fiduciary, not the real owner, of the personal data, predisposed for its defense as custodian of public good for the benefit of the community. Its protection and fiscal protection passes through the royalties or taxes on digital income on the natural resource nature of the user's activities in the territory.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royalty is a fixed payment on the full income for the use of a natural resource. It is a pure public income characterized, besides, because it prevents the displacement of benefits. The type of tax ranges in the treaties to avoid double taxation and start from 5% to 20%.</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Services Tax in the European model or the Equalization Levy of India is an analogous tax to the royalty.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Services Tax, following Wei Cui, is interpreted as a tax on specific localized rents as a  royalty on the extraction of natural resources; economic rents obtained by digital platforms in particular locations.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t>
      </w:r>
      <w:r>
        <w:rPr>
          <w:rFonts w:ascii="Palatino Linotype" w:hAnsi="Palatino Linotype"/>
          <w:i/>
          <w:sz w:val="22"/>
          <w:szCs w:val="22"/>
        </w:rPr>
        <w:t>Taxes on LSR possess two highly desirable features. First, they generate tax revenue with minimal distortions to business decisions. Second, rent that can be attributed to specific locations permits a natural allocation of taxing rights: the jurisdictions in which the rent is located can reasonably claim primary taxing rights, and this, in turn, implies natural solutions to coordination problems in mitigating the risk of excessive taxation." [</w:t>
      </w:r>
      <w:r>
        <w:rPr>
          <w:rFonts w:ascii="Palatino Linotype" w:hAnsi="Palatino Linotype"/>
          <w:sz w:val="22"/>
          <w:szCs w:val="22"/>
        </w:rPr>
        <w:t>35]</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substantial digital rent derives from the users in the countries where the platforms operate internationally.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User data has significant economic value and is similar to natural resources with defined locations. There is a mistake by the authors when they limit their importance by granting more rent to that derived from advertising or the intermediation of consumer transactions. The source of the digital economy is data (personal and non-personal), and only in this way can the likeness with the natural resource be understood.</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Digital income is in the expression of Bankman, Kane, and Sykes, a real economic  rent based on the market power of their agents, the absence of rival competition, and little less than absolute governance of the platform from which they operate. Ricardian rent comes from free raw materials and the exogenous income derived from location savings in third countries, from access to people with sufficient education, or infrastructure and telecommunications that they take advantage of at zero cost, due to tax immunity.[36]</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gross income is a reasonable measure since it affects close to a profit tax. Cui and Shaviro agree that digital platforms have low or even marginal operating costs in the jurisdiction.[37]</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adaptation of the royalty to the figure of the gross income tax of digital platforms can go beyond the fixed rate of tax. Nothing prevents the progressive rate of tax based on the economic and market dimensions of large platforms.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starting point is precise; the so-called price-based royalty can be applicable to tax extractive industries. A tax that increases according to the increase in profits or prices. The idea is that the royalty based on gross income varies with changes in product prices.</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 xml:space="preserve">"A price-based royalty captures some of the desirable attributes of an income or resource rent tax, but in comparison to such taxes, it is easier to administer since revenues are much less sensitive to transfer price manipulation and tax avoidance efforts." </w:t>
      </w:r>
      <w:r>
        <w:rPr>
          <w:rFonts w:ascii="Palatino Linotype" w:hAnsi="Palatino Linotype"/>
          <w:sz w:val="22"/>
          <w:szCs w:val="22"/>
        </w:rPr>
        <w:t>[38]</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In the same direction of progressive royalty, an analog opportunity to progressively tax digital rent from a  gross rent will be consistent with the European model of Digital Services Tax.</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tax, on the natural resource of people's data, of the digital person, must respect a critical point: the contribution to public spending must be compensated or reimbursed as a social dividend to the real owners of the natural resource: the citizens of the community.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taxation of surveillance capitalism, in charge of the State, should nourish the social dividend to each citizen of the community, which leads to the creation of an earmarked Civic Fund that allows the return of the income collected to the citizens who created the digital value.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This payment is a dividend based, on the one hand, on the fact that everyone owns a part of the natural and shared resources, enabled to access a portion of the benefits obtained and, on the other, that without their co-creation, the value algorithm would not go beyond a mathematical approximation.(39)</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extraction of data is equivalent to the extraction of value from personal data, digitization for the development of predictive products. Exactly, as a  common natural resource, in the same category as oil or mining. G. Franzoni compares the material presence of a permanent establishment in the extraction of natural resources with the immaterial extraction of data, data mining.</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The acquisition of data, such as oil, or metals for the extractive industries, is the main raw material of value that "has as its source the members of the communities residing in each State, which are its" mine ".[40]</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rPr>
          <w:rFonts w:ascii="Palatino Linotype" w:hAnsi="Palatino Linotype"/>
          <w:sz w:val="22"/>
          <w:szCs w:val="22"/>
        </w:rPr>
      </w:pPr>
      <w:r>
        <w:rPr>
          <w:rFonts w:ascii="Palatino Linotype" w:hAnsi="Palatino Linotype"/>
          <w:sz w:val="22"/>
          <w:szCs w:val="22"/>
        </w:rPr>
      </w:r>
    </w:p>
    <w:p>
      <w:pPr>
        <w:pStyle w:val="Normal"/>
        <w:rPr>
          <w:b/>
          <w:b/>
        </w:rPr>
      </w:pPr>
      <w:r>
        <w:rPr>
          <w:rFonts w:ascii="Palatino Linotype" w:hAnsi="Palatino Linotype"/>
          <w:sz w:val="22"/>
          <w:szCs w:val="22"/>
        </w:rPr>
        <w:t xml:space="preserve"> </w:t>
      </w:r>
      <w:r>
        <w:rPr>
          <w:rFonts w:ascii="Palatino Linotype" w:hAnsi="Palatino Linotype"/>
          <w:b/>
          <w:sz w:val="22"/>
          <w:szCs w:val="22"/>
        </w:rPr>
        <w:t>6.The digital tax is not discriminatory.</w:t>
      </w:r>
    </w:p>
    <w:p>
      <w:pPr>
        <w:pStyle w:val="Normal"/>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Is the progressivity of a tax on turnover or sales figure justifiable from the ability to pay principle?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Advocate General Kokott's Opinion in the European Court of Justice sustains the premise that profit-based taxation is not the only way compatible with the principle of ability to pay; this also includes turnover tax. (41)</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First, because high profits are not possible without a high turnover and second since the benefit derived from an additional turnover (marginal benefit) increases with the decrease in fixed costs per unit. Turnover is not an irrational consideration as a reflection of the size or market position, and potential benefits of the company, indicators of ability to pay susceptible to progressive taxation.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It is wrong to conceive as discriminatory  the different treatment in tax difference between taxpayers based on their ability to pay.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Nor is there a direct relationship between the government of difference and unequal treatment between taxpayers' size.  Discrimination depends on the duty of constitutional contribution to the public expenditure of each Member State. The taxpayers under the application of the principle of ability to pay should be subject to different treatments if they are different. With so, neither freedom of establishment nor State aid is violated.</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dividing line between the government of the difference and the government difference between the impartial, congruent, proportional difference, and the capricious or covert arbitrary distinction lies in the purpose and discriminatory effect that affects the competitive conditions. The end and aim is none other than the purpose and effect of protecting the local tax base.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Intentional discrimination must be legally relevant, and not a mere correlation of coincidences, which requires that its primary purpose was to create disadvantages for foreign companies and supported by the Member State as long as there are no other objective reasons that justify it.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intention is in the form that configures the measure, and the purpose is never identifiable with the legislator's subjective intent. The discriminatory purpose cannot be detached from the legislator's mind or its intimate objective, but from the objective ratio revealed by the measure [42]. The primary purpose is, obviously, objective. The State's support is in the configuration, architecture, text, and context of the adopted provision, and the motivation comes from the approved norms. The discriminatory purpose does not fit if it is not inferred from the structure, design, visible architecture of the measures. Of course, taxing with distinction the different ability to pay does not constitute an assumption of competitive discrimination.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There is no distortion of competition if the tax is paid for an identical turnover </w:t>
      </w:r>
      <w:r>
        <w:rPr>
          <w:rFonts w:ascii="Palatino Linotype" w:hAnsi="Palatino Linotype"/>
          <w:i/>
          <w:sz w:val="22"/>
          <w:szCs w:val="22"/>
        </w:rPr>
        <w:t xml:space="preserve">"If a higher tax is payable for higher turnover, the same 'unequal treatment' exists as to where higher tax is payable for higher profit" (par.168) </w:t>
      </w:r>
      <w:r>
        <w:rPr>
          <w:rFonts w:ascii="Palatino Linotype" w:hAnsi="Palatino Linotype"/>
          <w:sz w:val="22"/>
          <w:szCs w:val="22"/>
        </w:rPr>
        <w:t xml:space="preserve"> [43]</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Turnover is an indicator of ability to pay. Net profit is not the only valid indicator of taxable capacity and financial capacity. The ability to pay is a  principle  recognized by European jurisprudence at least regarding the consistency of the tax system in conjunction with the Welfare State (art.3 (3) TEU).</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 xml:space="preserve">"It would not, therefore, appear unreasonable to regard turnover as a reflection of an undertaking's size or market position and .potential profits, also as a reflection of its financial capacity and to tax it on that basis."....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Consequently, the general presumption made by the Hungarian legislature that, as a rule, larger (higher-turnover) undertakings also have more financial capacity than smaller companies (see also the preamble to the Law on the special tax) is in any case not manifestly incorrect. The (private) banking sector also differentiates in lending operations according to the volume of turnover of the borrower. Even the planned EU digital services tax appears to be based on this presumption if only undertakings from a certain turnover limit are to be taxed (regardless of whether they actually generate profits). Therefore, turnover is perhaps not an ideal indicator, but neither is it an irrelevant indicator of financial capacity. (Par. 101,102).</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Turnover taxation prevents the use of aggressive tax planning for base erosion and profit shifting better than that applied to profits, citing one of the Commission's reasons (44) for the introduction of the European Tax on Digital Services, ensuring that the opportunity for circumvention and evasion lies with large companies. (Opinion, par.103)</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Advocate General also refers to the projected digital services tax within the European Union. It would not be an abuse of law to apply to a progressive tax on the sales figure of large digital platforms to ensure fair taxation for small operating companies only within the European Union.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It not only supports the proposal for taxation of digital services but also tends to progressive tax rates, not contemplated in the European project.</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 xml:space="preserve">"This is also consistent with the approach taken by the Commission in the planned EU-wide digital services tax. The Commission is also attempting to obtain a greater contribution to public costs from multinational undertakings (in that case, primarily from certain non-member countries) if they generate profits within the EU, without being subject to income tax. If the Commission considers a turnover-based progressive tax for certain undertakings to be necessary to ensure fair taxation between larger, globally operating undertakings and smaller undertakings operating (only) throughout Europe, a comparable national tax which seeks to obtain a greater contribution to the public burden from larger undertakings than from smaller undertakings can hardly, in principle, constitute an abuse of rights ." (Opinion par.96) </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And she insists again: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Accordingly, as the Commission itself shows with the proposal for a digital services tax, turnover can also be seen as a (slightly rougher) indicator of greater economic power, and thus greater financial capacity. (Opinion par. 169)</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judgment of the European Union Court of Justice  draws a conclusion coinciding with the Opinion of Advocate General Kokott: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t>
      </w:r>
      <w:r>
        <w:rPr>
          <w:rFonts w:ascii="Palatino Linotype" w:hAnsi="Palatino Linotype"/>
          <w:i/>
          <w:sz w:val="22"/>
          <w:szCs w:val="22"/>
        </w:rPr>
        <w:t>Progressive taxation can be based on turnover, since, on the one hand, the amount of the latter constitutes a neutral criterion of distinction and, on the other, it is a pertinent indicator of the taxable capacity of taxpayers. It follows that, by applying a markedly progressive scale based on turnover, said Law intended to tax taxable persons with a tax capacity "greater than the general tax obligation</w:t>
      </w:r>
      <w:r>
        <w:rPr>
          <w:rFonts w:ascii="Palatino Linotype" w:hAnsi="Palatino Linotype"/>
          <w:sz w:val="22"/>
          <w:szCs w:val="22"/>
        </w:rPr>
        <w:t>".(43)</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It is not contrary to Community law for a Member State that: </w:t>
      </w:r>
      <w:r>
        <w:rPr>
          <w:rFonts w:ascii="Palatino Linotype" w:hAnsi="Palatino Linotype"/>
          <w:i/>
          <w:sz w:val="22"/>
          <w:szCs w:val="22"/>
        </w:rPr>
        <w:t>"Establishes a markedly progressive tax on the volume of business whose effective burden falls mainly on companies controlled directly or indirectly by nationals of other Member States or by companies that have their registered office in another Member State because these companies carry out the largest business volumes in the market in question."</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taxpayer's configuration based on size or economic dimension does not constitute disguised national discrimination. It is easily verified that objective discrimination is concerning minor operators and by the principles that guide the national tax system. It is an application of the fiscal protective protection to the tax base of the country.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fiscal protection of the internal market is part of the functioning of the European Single Market.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Accordingly, the difference of the similar service is not equivalent to that of its provider, in this case, digital platforms, which, as such, may be subject to different treatment, e.g., tax protection measures. Similar service providers located in various jurisdictions of that of the Member State may be legitimately treated differently. Similarity cannot be established for the service without weighing the provider's qualities.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In short, the European Union Court of Justice rejects the conservative ideology that it claims to see in digital tax assumptions of discrimination by nationality. The bottom line of its reasoning, sponsored by the Advocate General's Opinion, is that there is no discrimination when it confronts diversity of treatment by the difference between the taxpayer's ability to pay and the State reacts in the protection of its tax base. [44]</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rPr>
          <w:rFonts w:ascii="Palatino Linotype" w:hAnsi="Palatino Linotype"/>
          <w:sz w:val="22"/>
          <w:szCs w:val="22"/>
        </w:rPr>
      </w:pPr>
      <w:r>
        <w:rPr>
          <w:rFonts w:ascii="Palatino Linotype" w:hAnsi="Palatino Linotype"/>
          <w:sz w:val="22"/>
          <w:szCs w:val="22"/>
        </w:rPr>
        <w:t xml:space="preserve"> </w:t>
      </w:r>
    </w:p>
    <w:p>
      <w:pPr>
        <w:pStyle w:val="Normal"/>
        <w:rPr>
          <w:rFonts w:ascii="Palatino Linotype" w:hAnsi="Palatino Linotype"/>
          <w:sz w:val="22"/>
          <w:szCs w:val="22"/>
        </w:rPr>
      </w:pPr>
      <w:r>
        <w:rPr>
          <w:rFonts w:ascii="Palatino Linotype" w:hAnsi="Palatino Linotype"/>
          <w:b/>
          <w:sz w:val="22"/>
          <w:szCs w:val="22"/>
        </w:rPr>
        <w:t>7. Language as a sufficient territorial connection The virtual nexus.</w:t>
      </w:r>
    </w:p>
    <w:p>
      <w:pPr>
        <w:pStyle w:val="Normal"/>
        <w:rPr>
          <w:b/>
          <w:b/>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Google Ireland's activity in Hungary is subject to the Advertising Tax, whatever its place of residence. The taxable event includes digital advertising if the advertisement or the website on which it appears is mainly in the Hungarian language.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nature of the Advertising Tax is that of a direct income tax.</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t>
      </w:r>
      <w:r>
        <w:rPr>
          <w:rFonts w:ascii="Palatino Linotype" w:hAnsi="Palatino Linotype"/>
          <w:i/>
          <w:sz w:val="22"/>
          <w:szCs w:val="22"/>
        </w:rPr>
        <w:t>From this perspective, the rating of the consumption tax advertising tax based on turnover is not convincing. On the contrary, as conceived, the Hungarian advertising tax is applied directly to service providers. It intends to tax the financial capacity of these companies, and not that of their clients, as evidence, in particular, the fact that clients can fulfill their tax obligation with simple information about the company that performs the advertising, following article 2, section 1, letter b) of the Advertising Tax Law. Therefore, due to its characteristics, the special tax for advertising companies resembles a special direct tax on income whose tax base, instead of profit, is "simply" the income obtained during a certain period. Thus, it has the character of a direct income tax ... "[45]</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Hungary's tax authority cannot be discussed as long as a reasonable connection for the tax application can be justified. The link is not only through physical or material presence but also through personal ties that make the collective person located in a space determined.</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Language is a sufficient territorial connection. Advertising is directed at people residing in Hungarian territory, users of the Magyar language.</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"Therefore, Google generates income with" help "from the population of Hungary population, which is not taxed in that country. Without the invention of the Internet, probably most of this income could only be obtained through an establishment located on Hungarian territory, and Hungary could have simply received the corresponding income tax. Is this competition to be lost solely because technical progress creates new possibilities of earning income without being present in the Member State concerne</w:t>
      </w:r>
      <w:r>
        <w:rPr>
          <w:rFonts w:ascii="Palatino Linotype" w:hAnsi="Palatino Linotype"/>
          <w:sz w:val="22"/>
          <w:szCs w:val="22"/>
        </w:rPr>
        <w:t>d?" [46]</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absence of physical or material presence, of a permanent establishment, does not prevent the digital platform from obtaining income with the help of users in Hungary, without this having to suppose that the State loses its competence to collect the respective income tax.</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use of the official language is a sufficiently reasonable territorial connection because it allows obtaining digital income through the Internet.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t>
      </w:r>
      <w:r>
        <w:rPr>
          <w:rFonts w:ascii="Palatino Linotype" w:hAnsi="Palatino Linotype"/>
          <w:i/>
          <w:sz w:val="22"/>
          <w:szCs w:val="22"/>
        </w:rPr>
        <w:t xml:space="preserve">No one can dispute that language constitutes an essential element of the nation's identity and, therefore, has a close relationship with a State and its territory ... This implies that the use of the Hungarian language may indicate an orientation of Google's activity to the Hungarian territory. </w:t>
      </w:r>
      <w:r>
        <w:rPr>
          <w:rFonts w:ascii="Palatino Linotype" w:hAnsi="Palatino Linotype"/>
          <w:sz w:val="22"/>
          <w:szCs w:val="22"/>
        </w:rPr>
        <w:t xml:space="preserve">"[47]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User participation is a natural resource of the Nation-State. Its official language, personal data of singular relevance, can be configured as an identity element of a nation in close relationship with the territory and organization of the State. Part of Google success arises on the fact that Hungarian nationals usually use Hungarian Internet advertising. The language is the permanent virtual establishment that legitimizes the subjection to the Advertising Tax. Google must register as a taxpayer.</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Opinion of the Advocate General is precious because it contributes to ratify the conviction that the digital person is part of the natural resources of each Nation-State. That language is constitutive of the location of personal data for its capture, accumulation, and treatment, liable to be taxed as an indication of the ability to pay off a direct income tax.</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language inspires a renewed approach to the virtual nexus, which, until now, was not taken into consideration. The economics of language is a new discipline,of multidisciplinary nature that supports some language assumptions that serve as a specific reference.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Language is like technology or a social communication tool; it is a public good. Its use does not exclude anyone, and the use of many does not exhaust that of others. Language is an instrument that is advantageous to all, and none can be excluded from its benefit, of indivisible nature, of plural or collective enjoyment. Language, as a public good, prevents its appropriation by any economic agent for its use.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Language is a natural resource of a community that keeps its participants integrated into its values, moral standards of behavior, and social networks. It is essential for individual emotions and feelings that become social.</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"Through language, therefore, more than ideas are communicated: emotions, values, ways of life, and shared references are also transferred." [48]</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language sometimes is called  social capital to highlight its adjectives of cooperation and mutual community trust. However, the definition of social capital is not adequate. The language is, first,  of each individual in his relationship with the others.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It is a natural resource of the person in a society whose origin and membership are strict of the person as such and imposed on the relationship and interconnection with other people in identical circumstances,a natural resource such as a site or a river. The economy of the language is close to that of extractive resources.</w:t>
      </w:r>
    </w:p>
    <w:p>
      <w:pPr>
        <w:pStyle w:val="Normal"/>
        <w:widowControl/>
        <w:bidi w:val="0"/>
        <w:ind w:left="0" w:right="0" w:firstLine="283"/>
        <w:jc w:val="both"/>
        <w:rPr>
          <w:i/>
          <w:i/>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 No iron or bauxite is produced:what is done is to “extract”iron or bauxite  from the corresponding mines: a necessary condition for the subsequent productive use of those minerals. "[</w:t>
      </w:r>
      <w:r>
        <w:rPr>
          <w:rFonts w:ascii="Palatino Linotype" w:hAnsi="Palatino Linotype"/>
          <w:sz w:val="22"/>
          <w:szCs w:val="22"/>
        </w:rPr>
        <w:t>49]</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Indeed, J.Alonso is right: language is a renewable mine, like people, whose extraction is essential for its subsequent economic use, with the particularity that its use-value is free, at zero cost to the extent that its consumption expands.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Language is a detachment from the need for common coexistence and the coexistence of the common needs of people in society. It is a natural resource and a public good capable of being safeguarded by the public powers against the pretense of its weakening, postponement, or extinction by third parties outside the community. The public good of the language is a sign of collective identity.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language of each one in common is a natural resource that identifies an element of collective identity. Language is an intangible who speaks of the whole, of shared knowledge, of communication, and the bond of society with third parties or other societies.</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 xml:space="preserve">"One of the identifying elements of this group, perhaps one of the most visible, is language, which then operates as a factor of link and recognition of this set of identity elements." </w:t>
      </w:r>
      <w:r>
        <w:rPr>
          <w:rFonts w:ascii="Palatino Linotype" w:hAnsi="Palatino Linotype"/>
          <w:sz w:val="22"/>
          <w:szCs w:val="22"/>
        </w:rPr>
        <w:t>[51]</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Finally, language is the carrier of network externalities like digital networks, by which its potential value is critically linked to the number of those who practice it or the multiplication of current users' benefits.</w:t>
      </w:r>
    </w:p>
    <w:p>
      <w:pPr>
        <w:pStyle w:val="Normal"/>
        <w:widowControl/>
        <w:bidi w:val="0"/>
        <w:ind w:left="0" w:right="0" w:firstLine="283"/>
        <w:jc w:val="both"/>
        <w:rPr>
          <w:rFonts w:ascii="Palatino Linotype" w:hAnsi="Palatino Linotype"/>
          <w:sz w:val="22"/>
          <w:szCs w:val="22"/>
        </w:rPr>
      </w:pPr>
      <w:r>
        <w:rPr>
          <w:rFonts w:ascii="Palatino Linotype" w:hAnsi="Palatino Linotype"/>
          <w:i/>
          <w:sz w:val="22"/>
          <w:szCs w:val="22"/>
        </w:rPr>
        <w:t>"The presence of network externalities gives the language (equivalent, in this case, a communication software) the character of a" super-collective "asset; that is, the more individuals participate in the consumption of the good, the greater its value."</w:t>
      </w:r>
      <w:r>
        <w:rPr>
          <w:rFonts w:ascii="Palatino Linotype" w:hAnsi="Palatino Linotype"/>
          <w:sz w:val="22"/>
          <w:szCs w:val="22"/>
        </w:rPr>
        <w:t xml:space="preserve"> [52]</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Language is a "</w:t>
      </w:r>
      <w:r>
        <w:rPr>
          <w:rFonts w:ascii="Palatino Linotype" w:hAnsi="Palatino Linotype"/>
          <w:i/>
          <w:sz w:val="22"/>
          <w:szCs w:val="22"/>
        </w:rPr>
        <w:t>metaphorical network "that provides interrelationships in which there is no physical connection and stands out because it cannot be the object of private appropriation”.</w:t>
      </w:r>
      <w:r>
        <w:rPr>
          <w:rFonts w:ascii="Palatino Linotype" w:hAnsi="Palatino Linotype"/>
          <w:sz w:val="22"/>
          <w:szCs w:val="22"/>
        </w:rPr>
        <w:t>[53]</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use of language communication technology by the activity of digital platforms in different countries is key to their access to the market for their purposes, on the one hand, to expand their network effect and, on the other, to obtain a differential (Ricardian ) rent.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extensive use of local languages is a decisive instrument for capturing the natural resource's digital income that we call language. No market can be accessed without the use of the communication capacity offered by the language. Or, also, without the language, no economic transactions are possible. From this, it is easy to understand the cause of language as a virtual connection. [54]</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Court of Justice of the European Union broadly agrees with the Opinion of the Advocate General or, at least, does not motivate her difference or confront her Opinion on language. In the judgment, it agrees to point out as contrary to article 56 TFEU the system of fines established by the volume and speed of its accumulation in case of non-compliance with the duty to inform the Advertising Tax. The time required for compliance is considered disproportionate. The complete set of fines on foreign service providers was rated discriminatory and unjustified compared to the similar obligation of domestic service providers.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citizens of a society are social beings in a particular identifiable and irreplaceable spatial and political framework, which is why people carry out their communication and connection activities through language. It is one language and not another that gives value to coexistence, and this exclusivity does not have a reductionist or discriminatory character, but of belonging, of place. The context of language is the text of localization. Text is a natural resource, subject to common uses, education, of the cultural, social, and economic promotion of the talking subjects. Its commercial exploitation offers disproportionate benefits to digital platforms and, still, possibilities of impoverishment at the favorable language levels of society. The conservation and continuity of the language are part of the community's primary natural resources.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It is not mistaken who, evaluating the Kokott Conclusions and the sentence, maintains that it is an expansion of the doctrine of a permanent establishment, starting from the territorial link between a nation and its language (rectius: between a nation and its community in a given territory).</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w:t>
      </w:r>
      <w:r>
        <w:rPr>
          <w:rFonts w:ascii="Palatino Linotype" w:hAnsi="Palatino Linotype"/>
          <w:i/>
          <w:sz w:val="22"/>
          <w:szCs w:val="22"/>
        </w:rPr>
        <w:t>If Italy were to enact an identical Google tax, without the overbearing penalties, would it pass muster? What about Germany or Spain? We can only speculate about the outer limits of language-as-nexus, but it seems those boundaries are there"</w:t>
      </w:r>
      <w:r>
        <w:rPr>
          <w:rFonts w:ascii="Palatino Linotype" w:hAnsi="Palatino Linotype"/>
          <w:sz w:val="22"/>
          <w:szCs w:val="22"/>
        </w:rPr>
        <w:t xml:space="preserve"> [55]</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Hungary obtained the virtual nexus from the language, from the most intimate personal data of the digital person. Nothing prevents the other Member States of the European Union from trying the same as Hungary through digital income taxes, which are obtained from the economic usability of the local market.</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rPr>
          <w:rFonts w:ascii="Palatino Linotype" w:hAnsi="Palatino Linotype"/>
          <w:sz w:val="22"/>
          <w:szCs w:val="22"/>
        </w:rPr>
      </w:pPr>
      <w:r>
        <w:rPr>
          <w:rFonts w:ascii="Palatino Linotype" w:hAnsi="Palatino Linotype"/>
          <w:sz w:val="22"/>
          <w:szCs w:val="22"/>
        </w:rPr>
        <w:t xml:space="preserve"> </w:t>
      </w:r>
    </w:p>
    <w:p>
      <w:pPr>
        <w:pStyle w:val="Normal"/>
        <w:rPr>
          <w:rFonts w:ascii="Palatino Linotype" w:hAnsi="Palatino Linotype"/>
          <w:sz w:val="22"/>
          <w:szCs w:val="22"/>
        </w:rPr>
      </w:pPr>
      <w:r>
        <w:rPr>
          <w:rFonts w:ascii="Palatino Linotype" w:hAnsi="Palatino Linotype"/>
          <w:b/>
          <w:sz w:val="22"/>
          <w:szCs w:val="22"/>
        </w:rPr>
        <w:t>Conclusions.</w:t>
      </w:r>
    </w:p>
    <w:p>
      <w:pPr>
        <w:pStyle w:val="Normal"/>
        <w:rPr>
          <w:b/>
          <w:b/>
        </w:rPr>
      </w:pPr>
      <w:r>
        <w:rPr>
          <w:rFonts w:ascii="Palatino Linotype" w:hAnsi="Palatino Linotype"/>
          <w:b/>
          <w:sz w:val="22"/>
          <w:szCs w:val="22"/>
        </w:rPr>
        <w:t xml:space="preserve">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private appropriation of common knowledge is the form of digital economic rent, and the raw material is the collective, general knowledge of everyone. Personal data is the first step of the collective knowledge of everyone. The personal data collected evolve by the algorithm in production and manufacturing to a kind of artificial knowledge aimed at obtaining excess profits or pure information for other purposes, such as security, control, surveillance.</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 xml:space="preserve">We are the data. Oil, corn, or wheat, or any other natural resource, is on the surface, and only its free extraction is needed. It is algorithmic data mining, for the appropriation of the public domain and commercialization as predictive products, under the protection of private possession. The raw material is the digital person, the personal data collected for its algorithmic treatment. The digital person is the raw material of the digital natural resource in each of the countries where real people operate. The natural resource of the digital person has an economic value as informational merchandise marketable. It is a fictitious merchandise. The identity of people is, at the same time, the identity of the community and the identity of the nation-state. The appropriation and capture of the digital person is a disaggregation of the community and the nation-state. Natural resources belong to each State's fiduciary sovereignty , precisely like the raw materials within its territory. The rent derived from the  exploitation of personal data is a natural resource of the people that inhabit the Nation-State. The use of a user's language has public value. </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digital rent is a specific location rent that originates in the countries where the user resides. It is a rent similar to natural resources with defined locations. To the extent that the user allows to obtain benefits to the platform for the use of data, it is easy to deduce that the benefits derived belongs in part to the States users' location. The location of users is a manifestation of the ability to pay in the State-Nation where they are. The creation of digital value by the user configures a right of State taxation on the rent extracted by non-resident digital platforms. The data belongs to the people; the Administration is fiduciary, not real owner, of the personal data, for its defense as fiduciary of public good for the community´s benefit. Its protection and tax protection passes through royalties or taxes on digital rent in the territory. Nothing prevents the progressive rate of charge based on the economic and market dimensions of large platforms.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The language of each one in common is a natural resource that identifies an element of collective identity. The language is an intangible who speaks of the whole, of shared knowledge, of communication, and the bond of society with third parties or other communities.</w:t>
      </w:r>
    </w:p>
    <w:p>
      <w:pPr>
        <w:pStyle w:val="Normal"/>
        <w:widowControl/>
        <w:bidi w:val="0"/>
        <w:ind w:left="0" w:right="0" w:firstLine="283"/>
        <w:jc w:val="both"/>
        <w:rPr>
          <w:rFonts w:ascii="Palatino Linotype" w:hAnsi="Palatino Linotype"/>
          <w:sz w:val="22"/>
          <w:szCs w:val="22"/>
        </w:rPr>
      </w:pPr>
      <w:r>
        <w:rPr>
          <w:rFonts w:ascii="Palatino Linotype" w:hAnsi="Palatino Linotype"/>
          <w:sz w:val="22"/>
          <w:szCs w:val="22"/>
        </w:rPr>
        <w:t>Hungary obtained the virtual nexus from the language, from the most intimate personal data of the digital person. Nothing prevents the other Member States of the European Union from trying the same as Hungary through digital income taxes, which are obtained from the economic usability of the local market.</w:t>
      </w:r>
    </w:p>
    <w:p>
      <w:pPr>
        <w:pStyle w:val="Normal"/>
        <w:rPr>
          <w:rFonts w:ascii="Palatino Linotype" w:hAnsi="Palatino Linotype"/>
          <w:sz w:val="22"/>
          <w:szCs w:val="22"/>
        </w:rPr>
      </w:pPr>
      <w:r>
        <w:rPr>
          <w:rFonts w:ascii="Palatino Linotype" w:hAnsi="Palatino Linotype"/>
          <w:sz w:val="22"/>
          <w:szCs w:val="22"/>
        </w:rPr>
        <w:t xml:space="preserve"> </w:t>
      </w:r>
    </w:p>
    <w:p>
      <w:pPr>
        <w:pStyle w:val="Normal"/>
        <w:rPr>
          <w:rFonts w:ascii="Palatino Linotype" w:hAnsi="Palatino Linotype"/>
          <w:sz w:val="22"/>
          <w:szCs w:val="22"/>
        </w:rPr>
      </w:pPr>
      <w:r>
        <w:rPr>
          <w:rFonts w:ascii="Palatino Linotype" w:hAnsi="Palatino Linotype"/>
          <w:sz w:val="22"/>
          <w:szCs w:val="22"/>
        </w:rPr>
        <w:t>________________________</w:t>
      </w:r>
    </w:p>
    <w:p>
      <w:pPr>
        <w:pStyle w:val="Normal"/>
        <w:rPr>
          <w:rFonts w:ascii="Palatino Linotype" w:hAnsi="Palatino Linotype"/>
          <w:sz w:val="22"/>
          <w:szCs w:val="22"/>
        </w:rPr>
      </w:pPr>
      <w:r>
        <w:rPr>
          <w:rFonts w:ascii="Palatino Linotype" w:hAnsi="Palatino Linotype"/>
          <w:sz w:val="22"/>
          <w:szCs w:val="22"/>
        </w:rPr>
      </w:r>
    </w:p>
    <w:p>
      <w:pPr>
        <w:pStyle w:val="Normal"/>
        <w:rPr>
          <w:b/>
          <w:b/>
        </w:rPr>
      </w:pPr>
      <w:r>
        <w:rPr>
          <w:rFonts w:ascii="Palatino Linotype" w:hAnsi="Palatino Linotype"/>
          <w:b/>
          <w:sz w:val="22"/>
          <w:szCs w:val="22"/>
        </w:rPr>
        <w:t>References.</w:t>
      </w:r>
    </w:p>
    <w:p>
      <w:pPr>
        <w:pStyle w:val="Normal"/>
        <w:rPr>
          <w:rFonts w:ascii="Palatino Linotype" w:hAnsi="Palatino Linotype"/>
          <w:sz w:val="22"/>
          <w:szCs w:val="22"/>
        </w:rPr>
      </w:pPr>
      <w:r>
        <w:rPr>
          <w:rFonts w:ascii="Palatino Linotype" w:hAnsi="Palatino Linotype"/>
          <w:sz w:val="22"/>
          <w:szCs w:val="22"/>
        </w:rPr>
      </w:r>
    </w:p>
    <w:p>
      <w:pPr>
        <w:pStyle w:val="Normal"/>
        <w:rPr>
          <w:rFonts w:ascii="Palatino Linotype" w:hAnsi="Palatino Linotype"/>
          <w:sz w:val="20"/>
          <w:szCs w:val="20"/>
        </w:rPr>
      </w:pPr>
      <w:r>
        <w:rPr>
          <w:rFonts w:ascii="Palatino Linotype" w:hAnsi="Palatino Linotype"/>
          <w:sz w:val="20"/>
          <w:szCs w:val="20"/>
        </w:rPr>
      </w:r>
    </w:p>
    <w:p>
      <w:pPr>
        <w:pStyle w:val="Normal"/>
        <w:jc w:val="both"/>
        <w:rPr>
          <w:rFonts w:ascii="Palatino Linotype" w:hAnsi="Palatino Linotype"/>
          <w:sz w:val="20"/>
          <w:szCs w:val="20"/>
        </w:rPr>
      </w:pPr>
      <w:r>
        <w:rPr>
          <w:rFonts w:ascii="Palatino Linotype" w:hAnsi="Palatino Linotype"/>
          <w:sz w:val="20"/>
          <w:szCs w:val="20"/>
        </w:rPr>
        <w:t>[1] T. Morris-Suzuki, Beyond Computopia. Information, Automation, and Democracy in Japan, Kegan Paul International, 1988, reissued in 2011 Routledge Abingdon Oxfordshire.</w:t>
      </w:r>
    </w:p>
    <w:p>
      <w:pPr>
        <w:pStyle w:val="Normal"/>
        <w:rPr>
          <w:rFonts w:ascii="Palatino Linotype" w:hAnsi="Palatino Linotype"/>
          <w:sz w:val="20"/>
          <w:szCs w:val="20"/>
        </w:rPr>
      </w:pPr>
      <w:r>
        <w:rPr>
          <w:rFonts w:ascii="Palatino Linotype" w:hAnsi="Palatino Linotype"/>
          <w:sz w:val="20"/>
          <w:szCs w:val="20"/>
        </w:rPr>
        <w:t>[2] T. Morris- Suzuki, cit. p. 80.</w:t>
      </w:r>
    </w:p>
    <w:p>
      <w:pPr>
        <w:pStyle w:val="Normal"/>
        <w:rPr>
          <w:rFonts w:ascii="Palatino Linotype" w:hAnsi="Palatino Linotype"/>
          <w:sz w:val="20"/>
          <w:szCs w:val="20"/>
        </w:rPr>
      </w:pPr>
      <w:r>
        <w:rPr>
          <w:rFonts w:ascii="Palatino Linotype" w:hAnsi="Palatino Linotype"/>
          <w:sz w:val="20"/>
          <w:szCs w:val="20"/>
        </w:rPr>
        <w:t>[3] T. Morris-Suzuki, cit. p. 81 .</w:t>
      </w:r>
    </w:p>
    <w:p>
      <w:pPr>
        <w:pStyle w:val="Normal"/>
        <w:jc w:val="both"/>
        <w:rPr>
          <w:rFonts w:ascii="Palatino Linotype" w:hAnsi="Palatino Linotype"/>
          <w:sz w:val="20"/>
          <w:szCs w:val="20"/>
        </w:rPr>
      </w:pPr>
      <w:r>
        <w:rPr>
          <w:rFonts w:ascii="Palatino Linotype" w:hAnsi="Palatino Linotype"/>
          <w:sz w:val="20"/>
          <w:szCs w:val="20"/>
        </w:rPr>
        <w:t>[4] KDHaggerty, RVEricson, The surveillant assemblage, British journal of sociology, V.51.4, December, 20oo, p .. 616</w:t>
      </w:r>
    </w:p>
    <w:p>
      <w:pPr>
        <w:pStyle w:val="Normal"/>
        <w:jc w:val="both"/>
        <w:rPr>
          <w:rFonts w:ascii="Palatino Linotype" w:hAnsi="Palatino Linotype"/>
          <w:sz w:val="20"/>
          <w:szCs w:val="20"/>
        </w:rPr>
      </w:pPr>
      <w:r>
        <w:rPr>
          <w:rFonts w:ascii="Palatino Linotype" w:hAnsi="Palatino Linotype"/>
          <w:sz w:val="20"/>
          <w:szCs w:val="20"/>
        </w:rPr>
        <w:t>[5] JECohen, The Biopolitical Public Domain: The Legal Construction of the Surveillance Economy, Philosophy &amp; Technology, 2017, p.12.</w:t>
      </w:r>
    </w:p>
    <w:p>
      <w:pPr>
        <w:pStyle w:val="Normal"/>
        <w:jc w:val="both"/>
        <w:rPr>
          <w:rFonts w:ascii="Palatino Linotype" w:hAnsi="Palatino Linotype"/>
          <w:sz w:val="20"/>
          <w:szCs w:val="20"/>
        </w:rPr>
      </w:pPr>
      <w:r>
        <w:rPr>
          <w:rFonts w:ascii="Palatino Linotype" w:hAnsi="Palatino Linotype"/>
          <w:sz w:val="20"/>
          <w:szCs w:val="20"/>
        </w:rPr>
        <w:t>[6] S.Rodotà, Perchè Internet ha bisogno di nuove regole, La Reppubblica, 27 novembre 2014.</w:t>
      </w:r>
    </w:p>
    <w:p>
      <w:pPr>
        <w:pStyle w:val="Normal"/>
        <w:jc w:val="both"/>
        <w:rPr>
          <w:rFonts w:ascii="Palatino Linotype" w:hAnsi="Palatino Linotype"/>
          <w:sz w:val="20"/>
          <w:szCs w:val="20"/>
        </w:rPr>
      </w:pPr>
      <w:r>
        <w:rPr>
          <w:rFonts w:ascii="Palatino Linotype" w:hAnsi="Palatino Linotype"/>
          <w:sz w:val="20"/>
          <w:szCs w:val="20"/>
        </w:rPr>
        <w:t>[7]. G. Bridge, Global Production Networks and the extractive sector: governing resource-based development, Journal of Economic Geography 8,2008.</w:t>
      </w:r>
    </w:p>
    <w:p>
      <w:pPr>
        <w:pStyle w:val="Normal"/>
        <w:rPr>
          <w:rFonts w:ascii="Palatino Linotype" w:hAnsi="Palatino Linotype"/>
          <w:sz w:val="20"/>
          <w:szCs w:val="20"/>
        </w:rPr>
      </w:pPr>
      <w:r>
        <w:rPr>
          <w:rFonts w:ascii="Palatino Linotype" w:hAnsi="Palatino Linotype"/>
          <w:sz w:val="20"/>
          <w:szCs w:val="20"/>
        </w:rPr>
        <w:t>[8] JECohen cit., p.14</w:t>
      </w:r>
    </w:p>
    <w:p>
      <w:pPr>
        <w:pStyle w:val="Normal"/>
        <w:jc w:val="both"/>
        <w:rPr>
          <w:rFonts w:ascii="Palatino Linotype" w:hAnsi="Palatino Linotype"/>
          <w:sz w:val="20"/>
          <w:szCs w:val="20"/>
        </w:rPr>
      </w:pPr>
      <w:r>
        <w:rPr>
          <w:rFonts w:ascii="Palatino Linotype" w:hAnsi="Palatino Linotype"/>
          <w:sz w:val="20"/>
          <w:szCs w:val="20"/>
        </w:rPr>
        <w:t>[9] KDHaggerty, RVEricson, The surveillant assemblage ,British Journal of Sociology,Vol.51,4,December 2000.</w:t>
      </w:r>
    </w:p>
    <w:p>
      <w:pPr>
        <w:pStyle w:val="Normal"/>
        <w:jc w:val="both"/>
        <w:rPr>
          <w:rFonts w:ascii="Palatino Linotype" w:hAnsi="Palatino Linotype"/>
          <w:sz w:val="20"/>
          <w:szCs w:val="20"/>
        </w:rPr>
      </w:pPr>
      <w:r>
        <w:rPr>
          <w:rFonts w:ascii="Palatino Linotype" w:hAnsi="Palatino Linotype"/>
          <w:sz w:val="20"/>
          <w:szCs w:val="20"/>
        </w:rPr>
        <w:t>[10] S.Rodotà, Vivere la Democrazia, 2018,Laterza,Italia,p.27,136.</w:t>
      </w:r>
    </w:p>
    <w:p>
      <w:pPr>
        <w:pStyle w:val="Normal"/>
        <w:jc w:val="both"/>
        <w:rPr>
          <w:rFonts w:ascii="Palatino Linotype" w:hAnsi="Palatino Linotype"/>
          <w:sz w:val="20"/>
          <w:szCs w:val="20"/>
        </w:rPr>
      </w:pPr>
      <w:r>
        <w:rPr>
          <w:rFonts w:ascii="Palatino Linotype" w:hAnsi="Palatino Linotype"/>
          <w:sz w:val="20"/>
          <w:szCs w:val="20"/>
        </w:rPr>
        <w:t>[11] Jh.Cheney-Lippold, We are Data, 2017,New York University Press,p.58.</w:t>
      </w:r>
    </w:p>
    <w:p>
      <w:pPr>
        <w:pStyle w:val="Normal"/>
        <w:rPr>
          <w:rFonts w:ascii="Palatino Linotype" w:hAnsi="Palatino Linotype"/>
          <w:sz w:val="20"/>
          <w:szCs w:val="20"/>
        </w:rPr>
      </w:pPr>
      <w:r>
        <w:rPr>
          <w:rFonts w:ascii="Palatino Linotype" w:hAnsi="Palatino Linotype"/>
          <w:sz w:val="20"/>
          <w:szCs w:val="20"/>
        </w:rPr>
        <w:t>[12] World Trade Report 2010, p.45 , World Trade Organization.</w:t>
      </w:r>
    </w:p>
    <w:p>
      <w:pPr>
        <w:pStyle w:val="Normal"/>
        <w:jc w:val="both"/>
        <w:rPr>
          <w:rFonts w:ascii="Palatino Linotype" w:hAnsi="Palatino Linotype"/>
          <w:sz w:val="20"/>
          <w:szCs w:val="20"/>
        </w:rPr>
      </w:pPr>
      <w:r>
        <w:rPr>
          <w:rFonts w:ascii="Palatino Linotype" w:hAnsi="Palatino Linotype"/>
          <w:sz w:val="20"/>
          <w:szCs w:val="20"/>
        </w:rPr>
        <w:t>[13] A .J. Cockfield, Designing tax policy for the digital biosphere: How the Internet is changing tax laws, 34 Connecticut Law review, 2002</w:t>
      </w:r>
    </w:p>
    <w:p>
      <w:pPr>
        <w:pStyle w:val="Normal"/>
        <w:jc w:val="both"/>
        <w:rPr>
          <w:rFonts w:ascii="Palatino Linotype" w:hAnsi="Palatino Linotype"/>
          <w:sz w:val="20"/>
          <w:szCs w:val="20"/>
        </w:rPr>
      </w:pPr>
      <w:r>
        <w:rPr>
          <w:rFonts w:ascii="Palatino Linotype" w:hAnsi="Palatino Linotype"/>
          <w:sz w:val="20"/>
          <w:szCs w:val="20"/>
        </w:rPr>
        <w:t xml:space="preserve">[14] Draft National E-commerce Policy.Indias Data for India Development.23 2 2019, p.8. Department for Promotion of Industry and Internal Trade .  </w:t>
      </w:r>
    </w:p>
    <w:p>
      <w:pPr>
        <w:pStyle w:val="Normal"/>
        <w:jc w:val="both"/>
        <w:rPr>
          <w:rFonts w:ascii="Palatino Linotype" w:hAnsi="Palatino Linotype"/>
          <w:sz w:val="20"/>
          <w:szCs w:val="20"/>
        </w:rPr>
      </w:pPr>
      <w:r>
        <w:rPr>
          <w:rFonts w:ascii="Palatino Linotype" w:hAnsi="Palatino Linotype"/>
          <w:sz w:val="20"/>
          <w:szCs w:val="20"/>
        </w:rPr>
        <w:t>[15] K. Polanyi, La grande transformazione, Einaudi, Italia,2010,p.93 .</w:t>
      </w:r>
    </w:p>
    <w:p>
      <w:pPr>
        <w:pStyle w:val="Normal"/>
        <w:rPr>
          <w:rFonts w:ascii="Palatino Linotype" w:hAnsi="Palatino Linotype"/>
          <w:sz w:val="20"/>
          <w:szCs w:val="20"/>
        </w:rPr>
      </w:pPr>
      <w:r>
        <w:rPr>
          <w:rFonts w:ascii="Palatino Linotype" w:hAnsi="Palatino Linotype"/>
          <w:sz w:val="20"/>
          <w:szCs w:val="20"/>
        </w:rPr>
        <w:t>[16] Jh. Cheney-Lippold, cit.p.30</w:t>
      </w:r>
    </w:p>
    <w:p>
      <w:pPr>
        <w:pStyle w:val="Normal"/>
        <w:jc w:val="both"/>
        <w:rPr>
          <w:rFonts w:ascii="Palatino Linotype" w:hAnsi="Palatino Linotype"/>
          <w:sz w:val="20"/>
          <w:szCs w:val="20"/>
        </w:rPr>
      </w:pPr>
      <w:r>
        <w:rPr>
          <w:rFonts w:ascii="Palatino Linotype" w:hAnsi="Palatino Linotype"/>
          <w:sz w:val="20"/>
          <w:szCs w:val="20"/>
        </w:rPr>
        <w:t>17] A common framework of natural capital assets for use in public and private sector decision making, Katie Leach, Annelisa Grigg, Brian O'Connor, Claire Brown, James Vause, Jonathan Gheyssens, Lauren Weatherdon, Martin Halle , Neil D. Burgess, Ruth Fletcher , Sebastian Bekker , Steven King, Matt Jones, Ecosystems Services 36,2019</w:t>
      </w:r>
    </w:p>
    <w:p>
      <w:pPr>
        <w:pStyle w:val="Normal"/>
        <w:jc w:val="both"/>
        <w:rPr>
          <w:rFonts w:ascii="Palatino Linotype" w:hAnsi="Palatino Linotype"/>
          <w:sz w:val="20"/>
          <w:szCs w:val="20"/>
        </w:rPr>
      </w:pPr>
      <w:r>
        <w:rPr>
          <w:rFonts w:ascii="Palatino Linotype" w:hAnsi="Palatino Linotype"/>
          <w:sz w:val="20"/>
          <w:szCs w:val="20"/>
        </w:rPr>
        <w:t>[18] IPBES, The Report of the Global Assessment on Biological Diversity and Ecosystem Services, Bonn, 2019.</w:t>
      </w:r>
    </w:p>
    <w:p>
      <w:pPr>
        <w:pStyle w:val="Normal"/>
        <w:rPr>
          <w:rFonts w:ascii="Palatino Linotype" w:hAnsi="Palatino Linotype"/>
          <w:sz w:val="20"/>
          <w:szCs w:val="20"/>
        </w:rPr>
      </w:pPr>
      <w:r>
        <w:rPr>
          <w:rFonts w:ascii="Palatino Linotype" w:hAnsi="Palatino Linotype"/>
          <w:sz w:val="20"/>
          <w:szCs w:val="20"/>
        </w:rPr>
        <w:t>[19] IPBES, cit.Glossary.</w:t>
      </w:r>
    </w:p>
    <w:p>
      <w:pPr>
        <w:pStyle w:val="Normal"/>
        <w:rPr>
          <w:rFonts w:ascii="Palatino Linotype" w:hAnsi="Palatino Linotype"/>
          <w:sz w:val="20"/>
          <w:szCs w:val="20"/>
        </w:rPr>
      </w:pPr>
      <w:r>
        <w:rPr>
          <w:rFonts w:ascii="Palatino Linotype" w:hAnsi="Palatino Linotype"/>
          <w:sz w:val="20"/>
          <w:szCs w:val="20"/>
        </w:rPr>
        <w:t>[20] IPBES, cit.Glossary.</w:t>
      </w:r>
    </w:p>
    <w:p>
      <w:pPr>
        <w:pStyle w:val="Normal"/>
        <w:jc w:val="both"/>
        <w:rPr>
          <w:rFonts w:ascii="Palatino Linotype" w:hAnsi="Palatino Linotype"/>
          <w:sz w:val="20"/>
          <w:szCs w:val="20"/>
        </w:rPr>
      </w:pPr>
      <w:r>
        <w:rPr>
          <w:rFonts w:ascii="Palatino Linotype" w:hAnsi="Palatino Linotype"/>
          <w:sz w:val="20"/>
          <w:szCs w:val="20"/>
        </w:rPr>
        <w:t>[21] J . L.Cohen, Changing paradigms of citizenship and the exclusiveness of the Demos, International Sociology, 14, n.3,1999, p.257</w:t>
      </w:r>
    </w:p>
    <w:p>
      <w:pPr>
        <w:pStyle w:val="Normal"/>
        <w:jc w:val="both"/>
        <w:rPr>
          <w:rFonts w:ascii="Palatino Linotype" w:hAnsi="Palatino Linotype"/>
          <w:sz w:val="20"/>
          <w:szCs w:val="20"/>
        </w:rPr>
      </w:pPr>
      <w:r>
        <w:rPr>
          <w:rFonts w:ascii="Palatino Linotype" w:hAnsi="Palatino Linotype"/>
          <w:sz w:val="20"/>
          <w:szCs w:val="20"/>
        </w:rPr>
        <w:t xml:space="preserve">[22] Jean L. Cohen, Whose Sovereignty ?. Empire versus international law, Ethics and International Affairs 18.3, 2004, p.24).     </w:t>
      </w:r>
    </w:p>
    <w:p>
      <w:pPr>
        <w:pStyle w:val="Normal"/>
        <w:rPr>
          <w:rFonts w:ascii="Palatino Linotype" w:hAnsi="Palatino Linotype"/>
          <w:sz w:val="20"/>
          <w:szCs w:val="20"/>
        </w:rPr>
      </w:pPr>
      <w:r>
        <w:rPr>
          <w:rFonts w:ascii="Palatino Linotype" w:hAnsi="Palatino Linotype"/>
          <w:sz w:val="20"/>
          <w:szCs w:val="20"/>
        </w:rPr>
        <w:t>[23] D.Rodrik, Who Needs The Nation-State, V.89 1,2013, Economic Geography.</w:t>
      </w:r>
    </w:p>
    <w:p>
      <w:pPr>
        <w:pStyle w:val="Normal"/>
        <w:jc w:val="both"/>
        <w:rPr>
          <w:rFonts w:ascii="Palatino Linotype" w:hAnsi="Palatino Linotype"/>
          <w:sz w:val="20"/>
          <w:szCs w:val="20"/>
        </w:rPr>
      </w:pPr>
      <w:r>
        <w:rPr>
          <w:rFonts w:ascii="Palatino Linotype" w:hAnsi="Palatino Linotype"/>
          <w:sz w:val="20"/>
          <w:szCs w:val="20"/>
        </w:rPr>
        <w:t xml:space="preserve">[24] Draft National E-commerce Policy.Indias Data for Indias Development. 23 2 2019, p.15 . Department for Promotion of Industry and Internal Trade .  </w:t>
      </w:r>
    </w:p>
    <w:p>
      <w:pPr>
        <w:pStyle w:val="Normal"/>
        <w:jc w:val="both"/>
        <w:rPr>
          <w:rFonts w:ascii="Palatino Linotype" w:hAnsi="Palatino Linotype"/>
          <w:sz w:val="20"/>
          <w:szCs w:val="20"/>
        </w:rPr>
      </w:pPr>
      <w:r>
        <w:rPr>
          <w:rFonts w:ascii="Palatino Linotype" w:hAnsi="Palatino Linotype"/>
          <w:sz w:val="20"/>
          <w:szCs w:val="20"/>
        </w:rPr>
        <w:t xml:space="preserve">[25] Wei Cui, The Digital Services Tax: A Conceptual Defense, University of British Columbia, April 22, 2019. Tax Law Review, Forthcoming.SSRN: https://ssrn.com/abstract=3273641 ; Wei Cui, The Digital Services Tax on the Verge of Implementation, Canadian Tax Journal, 67: 4,2019.   </w:t>
      </w:r>
    </w:p>
    <w:p>
      <w:pPr>
        <w:pStyle w:val="Normal"/>
        <w:jc w:val="both"/>
        <w:rPr>
          <w:rFonts w:ascii="Palatino Linotype" w:hAnsi="Palatino Linotype"/>
          <w:sz w:val="20"/>
          <w:szCs w:val="20"/>
        </w:rPr>
      </w:pPr>
      <w:r>
        <w:rPr>
          <w:rFonts w:ascii="Palatino Linotype" w:hAnsi="Palatino Linotype"/>
          <w:sz w:val="20"/>
          <w:szCs w:val="20"/>
        </w:rPr>
        <w:t>[26] Wei Cui, Nigar Hashimzade The Digital Services Tax as a Tax on Location –Specific Rent, January 23, 2019 ssrn . c om / abstract = 3 321393.</w:t>
      </w:r>
    </w:p>
    <w:p>
      <w:pPr>
        <w:pStyle w:val="Normal"/>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[27] Wei Cui, Nigar Hashimzade, cit.p.11.</w:t>
      </w:r>
    </w:p>
    <w:p>
      <w:pPr>
        <w:pStyle w:val="Normal"/>
        <w:jc w:val="both"/>
        <w:rPr>
          <w:rFonts w:ascii="Palatino Linotype" w:hAnsi="Palatino Linotype"/>
          <w:sz w:val="20"/>
          <w:szCs w:val="20"/>
        </w:rPr>
      </w:pPr>
      <w:r>
        <w:rPr>
          <w:rFonts w:ascii="Palatino Linotype" w:hAnsi="Palatino Linotype"/>
          <w:sz w:val="20"/>
          <w:szCs w:val="20"/>
        </w:rPr>
        <w:t>[28] R.Kaplinsky, M.Morris, A Handbook for Value Chain Research, January 2001.</w:t>
      </w:r>
    </w:p>
    <w:p>
      <w:pPr>
        <w:pStyle w:val="Normal"/>
        <w:rPr>
          <w:rFonts w:ascii="Palatino Linotype" w:hAnsi="Palatino Linotype"/>
          <w:sz w:val="20"/>
          <w:szCs w:val="20"/>
        </w:rPr>
      </w:pPr>
      <w:r>
        <w:rPr>
          <w:rFonts w:ascii="Palatino Linotype" w:hAnsi="Palatino Linotype"/>
          <w:sz w:val="20"/>
          <w:szCs w:val="20"/>
        </w:rPr>
        <w:t>[29] Cui-Hashimzade, cit.p.12.</w:t>
      </w:r>
    </w:p>
    <w:p>
      <w:pPr>
        <w:pStyle w:val="Normal"/>
        <w:rPr>
          <w:rFonts w:ascii="Palatino Linotype" w:hAnsi="Palatino Linotype"/>
          <w:sz w:val="20"/>
          <w:szCs w:val="20"/>
        </w:rPr>
      </w:pPr>
      <w:r>
        <w:rPr>
          <w:rFonts w:ascii="Palatino Linotype" w:hAnsi="Palatino Linotype"/>
          <w:sz w:val="20"/>
          <w:szCs w:val="20"/>
        </w:rPr>
        <w:t>[30] B.Griziotti, Principles of Finance Policy, Law and Science, Madrid, 1931, p.107.</w:t>
      </w:r>
    </w:p>
    <w:p>
      <w:pPr>
        <w:pStyle w:val="Normal"/>
        <w:jc w:val="both"/>
        <w:rPr>
          <w:rFonts w:ascii="Palatino Linotype" w:hAnsi="Palatino Linotype"/>
          <w:sz w:val="20"/>
          <w:szCs w:val="20"/>
        </w:rPr>
      </w:pPr>
      <w:r>
        <w:rPr>
          <w:rFonts w:ascii="Palatino Linotype" w:hAnsi="Palatino Linotype"/>
          <w:sz w:val="20"/>
          <w:szCs w:val="20"/>
        </w:rPr>
        <w:t>[31] M.Pugliese, L ìmposizione delle imprese di carattere internazionale, Padova, 1931, p.41.</w:t>
      </w:r>
    </w:p>
    <w:p>
      <w:pPr>
        <w:pStyle w:val="Normal"/>
        <w:rPr>
          <w:rFonts w:ascii="Palatino Linotype" w:hAnsi="Palatino Linotype"/>
          <w:sz w:val="20"/>
          <w:szCs w:val="20"/>
        </w:rPr>
      </w:pPr>
      <w:r>
        <w:rPr>
          <w:rFonts w:ascii="Palatino Linotype" w:hAnsi="Palatino Linotype"/>
          <w:sz w:val="20"/>
          <w:szCs w:val="20"/>
        </w:rPr>
        <w:t>[32] F. Maffezzoni, The taxpayer's ability to pay , Torino, 1970, p.22</w:t>
      </w:r>
    </w:p>
    <w:p>
      <w:pPr>
        <w:pStyle w:val="Normal"/>
        <w:jc w:val="both"/>
        <w:rPr>
          <w:rFonts w:ascii="Palatino Linotype" w:hAnsi="Palatino Linotype"/>
          <w:sz w:val="20"/>
          <w:szCs w:val="20"/>
        </w:rPr>
      </w:pPr>
      <w:r>
        <w:rPr>
          <w:rFonts w:ascii="Palatino Linotype" w:hAnsi="Palatino Linotype"/>
          <w:sz w:val="20"/>
          <w:szCs w:val="20"/>
        </w:rPr>
        <w:t xml:space="preserve">[33] Wei Cui, The Digital Services Tax: A Conceptual Defense, April 22, 2019. Tax Law Review, Forthcoming.SSRN: https://ssrn.com/abstract=3273641   </w:t>
      </w:r>
    </w:p>
    <w:p>
      <w:pPr>
        <w:pStyle w:val="Normal"/>
        <w:rPr>
          <w:rFonts w:ascii="Palatino Linotype" w:hAnsi="Palatino Linotype"/>
          <w:sz w:val="20"/>
          <w:szCs w:val="20"/>
        </w:rPr>
      </w:pPr>
      <w:r>
        <w:rPr>
          <w:rFonts w:ascii="Palatino Linotype" w:hAnsi="Palatino Linotype"/>
          <w:sz w:val="20"/>
          <w:szCs w:val="20"/>
        </w:rPr>
        <w:t>[34] India, Committee on Taxation of E-Commerce, Proposal for Equalization Levy on Specified Transactions, February 2016, p.54.</w:t>
      </w:r>
    </w:p>
    <w:p>
      <w:pPr>
        <w:pStyle w:val="Normal"/>
        <w:jc w:val="both"/>
        <w:rPr>
          <w:rFonts w:ascii="Palatino Linotype" w:hAnsi="Palatino Linotype"/>
          <w:sz w:val="20"/>
          <w:szCs w:val="20"/>
        </w:rPr>
      </w:pPr>
      <w:r>
        <w:rPr>
          <w:rFonts w:ascii="Palatino Linotype" w:hAnsi="Palatino Linotype"/>
          <w:sz w:val="20"/>
          <w:szCs w:val="20"/>
        </w:rPr>
        <w:t>[35] Wei Cui, The Digital Services Tax on the Verge of Implementation, Canadian Tax Journal, 2019,67.4, p.1137.</w:t>
      </w:r>
    </w:p>
    <w:p>
      <w:pPr>
        <w:pStyle w:val="Normal"/>
        <w:rPr>
          <w:rFonts w:ascii="Palatino Linotype" w:hAnsi="Palatino Linotype"/>
          <w:sz w:val="20"/>
          <w:szCs w:val="20"/>
        </w:rPr>
      </w:pPr>
      <w:r>
        <w:rPr>
          <w:rFonts w:ascii="Palatino Linotype" w:hAnsi="Palatino Linotype"/>
          <w:sz w:val="20"/>
          <w:szCs w:val="20"/>
        </w:rPr>
        <w:t>[36] J.Bankman, McKane, A.Sykes, Collecting the Rent: The Global Battle to Capture MNE Profits, Law &amp; Economics Research Paper Series Working Paper NO 18-38, November 2018.</w:t>
      </w:r>
    </w:p>
    <w:p>
      <w:pPr>
        <w:pStyle w:val="Normal"/>
        <w:jc w:val="both"/>
        <w:rPr>
          <w:rFonts w:ascii="Palatino Linotype" w:hAnsi="Palatino Linotype"/>
          <w:sz w:val="20"/>
          <w:szCs w:val="20"/>
        </w:rPr>
      </w:pPr>
      <w:r>
        <w:rPr>
          <w:rFonts w:ascii="Palatino Linotype" w:hAnsi="Palatino Linotype"/>
          <w:sz w:val="20"/>
          <w:szCs w:val="20"/>
        </w:rPr>
        <w:t>[37] D.Shaviro, Digital Services Taxes and the Broader Shift From Determining the Source of Income to Taxing Location-Specific Rents, September 3, 2019,</w:t>
      </w:r>
    </w:p>
    <w:p>
      <w:pPr>
        <w:pStyle w:val="Normal"/>
        <w:jc w:val="both"/>
        <w:rPr>
          <w:rFonts w:ascii="Palatino Linotype" w:hAnsi="Palatino Linotype"/>
          <w:sz w:val="20"/>
          <w:szCs w:val="20"/>
        </w:rPr>
      </w:pPr>
      <w:r>
        <w:rPr>
          <w:rFonts w:ascii="Palatino Linotype" w:hAnsi="Palatino Linotype"/>
          <w:sz w:val="20"/>
          <w:szCs w:val="20"/>
        </w:rPr>
        <w:t>[38] KAClausing, MCDurst, A Price-Based Royalty Tax? .Ssrn.com / abstract = 2732797.</w:t>
      </w:r>
    </w:p>
    <w:p>
      <w:pPr>
        <w:pStyle w:val="Normal"/>
        <w:jc w:val="both"/>
        <w:rPr>
          <w:rFonts w:ascii="Palatino Linotype" w:hAnsi="Palatino Linotype"/>
          <w:sz w:val="20"/>
          <w:szCs w:val="20"/>
        </w:rPr>
      </w:pPr>
      <w:r>
        <w:rPr>
          <w:rFonts w:ascii="Palatino Linotype" w:hAnsi="Palatino Linotype"/>
          <w:sz w:val="20"/>
          <w:szCs w:val="20"/>
        </w:rPr>
        <w:t>[39]T. Rosembuj, Taxation and Capitalism of Surveillance, Rivista di Diritto Finanziario e Scienza delle Finanze, LXXIII, 2, I, 2019.</w:t>
      </w:r>
    </w:p>
    <w:p>
      <w:pPr>
        <w:pStyle w:val="Normal"/>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(40)G.Fransoni, The proposal is based on a web tax based on the client's number: stabile organizzazione virtuale o reale ?, rivista di Diritto Tributario, September 21, 2017.</w:t>
      </w:r>
    </w:p>
    <w:p>
      <w:pPr>
        <w:pStyle w:val="Normal"/>
        <w:jc w:val="both"/>
        <w:rPr>
          <w:rFonts w:ascii="Palatino Linotype" w:hAnsi="Palatino Linotype"/>
          <w:sz w:val="20"/>
          <w:szCs w:val="20"/>
        </w:rPr>
      </w:pPr>
      <w:r>
        <w:rPr>
          <w:rFonts w:ascii="Palatino Linotype" w:hAnsi="Palatino Linotype"/>
          <w:sz w:val="20"/>
          <w:szCs w:val="20"/>
        </w:rPr>
        <w:t>(41)Judgment of the Court of Justice of the European Union (Grand Chamber) of March 3, 2020.Tesco-Global Áruházak Zrt. Case C-323/18.   Opinion of Advocate General Kokott delivered on June 13, 2019, Case C-75/18, Vodafone Magyarország Mobil Távközlési Zrt. v. Nemzeti Adó- és Vámhivatal Fellebbviteli Igazgatósága, ECLI: EU: C: 2019: 492, para. 84.</w:t>
      </w:r>
    </w:p>
    <w:p>
      <w:pPr>
        <w:pStyle w:val="Normal"/>
        <w:jc w:val="both"/>
        <w:rPr>
          <w:rFonts w:ascii="Palatino Linotype" w:hAnsi="Palatino Linotype"/>
          <w:sz w:val="20"/>
          <w:szCs w:val="20"/>
        </w:rPr>
      </w:pPr>
      <w:r>
        <w:rPr>
          <w:rFonts w:ascii="Palatino Linotype" w:hAnsi="Palatino Linotype"/>
          <w:sz w:val="20"/>
          <w:szCs w:val="20"/>
        </w:rPr>
        <w:t>[42) Opinion of Advocate General Kokott of July 4, 2019 25 ( Case C-323/18 Tesco-Global Áruházak Zrt.Nemzeti Adó- és Vámhivatal Fellebbviteli Igazgatósága)</w:t>
      </w:r>
    </w:p>
    <w:p>
      <w:pPr>
        <w:pStyle w:val="Normal"/>
        <w:rPr>
          <w:rFonts w:ascii="Palatino Linotype" w:hAnsi="Palatino Linotype"/>
          <w:sz w:val="20"/>
          <w:szCs w:val="20"/>
        </w:rPr>
      </w:pPr>
      <w:r>
        <w:rPr>
          <w:rFonts w:ascii="Palatino Linotype" w:hAnsi="Palatino Linotype"/>
          <w:sz w:val="20"/>
          <w:szCs w:val="20"/>
        </w:rPr>
        <w:t xml:space="preserve">[43] Judgment cit., Par. 70 71. </w:t>
      </w:r>
    </w:p>
    <w:p>
      <w:pPr>
        <w:pStyle w:val="Normal"/>
        <w:jc w:val="both"/>
        <w:rPr>
          <w:rFonts w:ascii="Palatino Linotype" w:hAnsi="Palatino Linotype"/>
          <w:sz w:val="20"/>
          <w:szCs w:val="20"/>
        </w:rPr>
      </w:pPr>
      <w:r>
        <w:rPr>
          <w:rFonts w:ascii="Palatino Linotype" w:hAnsi="Palatino Linotype"/>
          <w:sz w:val="20"/>
          <w:szCs w:val="20"/>
        </w:rPr>
        <w:t>[44] R. Mason, L. Parada, The Legality of Digital Taxes in Europe, University of Virginia School of Law, April 2020, Virginia Tax Review, 2020, forthcoming.</w:t>
      </w:r>
    </w:p>
    <w:p>
      <w:pPr>
        <w:pStyle w:val="Normal"/>
        <w:jc w:val="both"/>
        <w:rPr>
          <w:rFonts w:ascii="Palatino Linotype" w:hAnsi="Palatino Linotype"/>
          <w:sz w:val="20"/>
          <w:szCs w:val="20"/>
        </w:rPr>
      </w:pPr>
      <w:r>
        <w:rPr>
          <w:rFonts w:ascii="Palatino Linotype" w:hAnsi="Palatino Linotype"/>
          <w:sz w:val="20"/>
          <w:szCs w:val="20"/>
        </w:rPr>
        <w:t>[45] Conclusions, Advocate General J.Kokott, 12 September 2019, Google Ireland L. v. Nemzeti Adò-és Vàmhivatal Kiemelt Adó-és Vámigazgatòsàga. , pair. 33</w:t>
      </w:r>
    </w:p>
    <w:p>
      <w:pPr>
        <w:pStyle w:val="Normal"/>
        <w:rPr>
          <w:rFonts w:ascii="Palatino Linotype" w:hAnsi="Palatino Linotype"/>
          <w:sz w:val="20"/>
          <w:szCs w:val="20"/>
        </w:rPr>
      </w:pPr>
      <w:r>
        <w:rPr>
          <w:rFonts w:ascii="Palatino Linotype" w:hAnsi="Palatino Linotype"/>
          <w:sz w:val="20"/>
          <w:szCs w:val="20"/>
        </w:rPr>
        <w:t>[46] Ibid Par.49</w:t>
      </w:r>
    </w:p>
    <w:p>
      <w:pPr>
        <w:pStyle w:val="Normal"/>
        <w:rPr>
          <w:rFonts w:ascii="Palatino Linotype" w:hAnsi="Palatino Linotype"/>
          <w:sz w:val="20"/>
          <w:szCs w:val="20"/>
        </w:rPr>
      </w:pPr>
      <w:r>
        <w:rPr>
          <w:rFonts w:ascii="Palatino Linotype" w:hAnsi="Palatino Linotype"/>
          <w:sz w:val="20"/>
          <w:szCs w:val="20"/>
        </w:rPr>
        <w:t>[47] Ibidem, Par.50 , 51</w:t>
      </w:r>
    </w:p>
    <w:p>
      <w:pPr>
        <w:pStyle w:val="Normal"/>
        <w:jc w:val="both"/>
        <w:rPr>
          <w:rFonts w:ascii="Palatino Linotype" w:hAnsi="Palatino Linotype"/>
          <w:sz w:val="20"/>
          <w:szCs w:val="20"/>
        </w:rPr>
      </w:pPr>
      <w:r>
        <w:rPr>
          <w:rFonts w:ascii="Palatino Linotype" w:hAnsi="Palatino Linotype"/>
          <w:sz w:val="20"/>
          <w:szCs w:val="20"/>
        </w:rPr>
        <w:t>[48] JCJimenez, The Economics of Language: An Overview, Universidad de Alcala, 2006, Complutense Institute for International Studies, Telefonica Foundation.</w:t>
      </w:r>
    </w:p>
    <w:p>
      <w:pPr>
        <w:pStyle w:val="Normal"/>
        <w:jc w:val="both"/>
        <w:rPr>
          <w:rFonts w:ascii="Palatino Linotype" w:hAnsi="Palatino Linotype"/>
          <w:sz w:val="20"/>
          <w:szCs w:val="20"/>
        </w:rPr>
      </w:pPr>
      <w:r>
        <w:rPr>
          <w:rFonts w:ascii="Palatino Linotype" w:hAnsi="Palatino Linotype"/>
          <w:sz w:val="20"/>
          <w:szCs w:val="20"/>
        </w:rPr>
        <w:t>[49] J.Alonso, Economic nature of the language, 2006, Complutense Institute of International Studies, Telephone Foundation, p.5</w:t>
      </w:r>
    </w:p>
    <w:p>
      <w:pPr>
        <w:pStyle w:val="Normal"/>
        <w:jc w:val="both"/>
        <w:rPr>
          <w:rFonts w:ascii="Palatino Linotype" w:hAnsi="Palatino Linotype"/>
          <w:sz w:val="20"/>
          <w:szCs w:val="20"/>
        </w:rPr>
      </w:pPr>
      <w:r>
        <w:rPr>
          <w:rFonts w:ascii="Palatino Linotype" w:hAnsi="Palatino Linotype"/>
          <w:sz w:val="20"/>
          <w:szCs w:val="20"/>
        </w:rPr>
        <w:t>[50] J. Alonso, cit .p.6,7. Language is a renewable natural resource inexhaustible for its use.</w:t>
      </w:r>
    </w:p>
    <w:p>
      <w:pPr>
        <w:pStyle w:val="Normal"/>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[51] J.Alonso, cit., p.20.</w:t>
      </w:r>
    </w:p>
    <w:p>
      <w:pPr>
        <w:pStyle w:val="Normal"/>
        <w:rPr>
          <w:rFonts w:ascii="Palatino Linotype" w:hAnsi="Palatino Linotype"/>
          <w:sz w:val="20"/>
          <w:szCs w:val="20"/>
        </w:rPr>
      </w:pPr>
      <w:r>
        <w:rPr>
          <w:rFonts w:ascii="Palatino Linotype" w:hAnsi="Palatino Linotype"/>
          <w:sz w:val="20"/>
          <w:szCs w:val="20"/>
        </w:rPr>
        <w:t>[52] JCJimenez, cit., p.11.</w:t>
      </w:r>
    </w:p>
    <w:p>
      <w:pPr>
        <w:pStyle w:val="Normal"/>
        <w:rPr>
          <w:rFonts w:ascii="Palatino Linotype" w:hAnsi="Palatino Linotype"/>
          <w:sz w:val="20"/>
          <w:szCs w:val="20"/>
        </w:rPr>
      </w:pPr>
      <w:r>
        <w:rPr>
          <w:rFonts w:ascii="Palatino Linotype" w:hAnsi="Palatino Linotype"/>
          <w:sz w:val="20"/>
          <w:szCs w:val="20"/>
        </w:rPr>
        <w:t>[53] SJLiebowitz, St.E. Margolis, Network Externality: An Uncommon Tragedy, Journal of Economic Perspectives, Vol. 8,2,1994, p.136.</w:t>
      </w:r>
    </w:p>
    <w:p>
      <w:pPr>
        <w:pStyle w:val="Normal"/>
        <w:jc w:val="both"/>
        <w:rPr>
          <w:rFonts w:ascii="Palatino Linotype" w:hAnsi="Palatino Linotype"/>
          <w:sz w:val="20"/>
          <w:szCs w:val="20"/>
        </w:rPr>
      </w:pPr>
      <w:r>
        <w:rPr>
          <w:rFonts w:ascii="Palatino Linotype" w:hAnsi="Palatino Linotype"/>
          <w:sz w:val="20"/>
          <w:szCs w:val="20"/>
        </w:rPr>
        <w:t>[54] J.Alonso, cit .. "… without transactions there is no economic life; and without the communication capacity provided by a language, whatever it may be, transactions would be impossible.", p.4.</w:t>
      </w:r>
    </w:p>
    <w:p>
      <w:pPr>
        <w:pStyle w:val="Normal"/>
        <w:jc w:val="both"/>
        <w:rPr>
          <w:rFonts w:ascii="Palatino Linotype" w:hAnsi="Palatino Linotype"/>
          <w:sz w:val="20"/>
          <w:szCs w:val="20"/>
        </w:rPr>
      </w:pPr>
      <w:r>
        <w:rPr>
          <w:rFonts w:ascii="Palatino Linotype" w:hAnsi="Palatino Linotype"/>
          <w:sz w:val="20"/>
          <w:szCs w:val="20"/>
        </w:rPr>
        <w:t>[55] R.Goulder, Language as Nexus: The Shape of Future Google Taxes, Tax Notes Int., 6/1/2020; R.Finley, Language Can Create Nexus for Hungary's Advertising Tax, AG Says, Tax Notes Int., September 16,2019.</w:t>
      </w:r>
    </w:p>
    <w:p>
      <w:pPr>
        <w:pStyle w:val="Normal"/>
        <w:rPr>
          <w:rFonts w:ascii="Palatino Linotype" w:hAnsi="Palatino Linotype"/>
          <w:sz w:val="22"/>
          <w:szCs w:val="22"/>
        </w:rPr>
      </w:pPr>
      <w:r>
        <w:rPr>
          <w:rFonts w:ascii="Palatino Linotype" w:hAnsi="Palatino Linotype"/>
          <w:sz w:val="22"/>
          <w:szCs w:val="22"/>
        </w:rPr>
      </w:r>
    </w:p>
    <w:sectPr>
      <w:headerReference w:type="default" r:id="rId2"/>
      <w:footerReference w:type="default" r:id="rId3"/>
      <w:type w:val="nextPage"/>
      <w:pgSz w:w="11906" w:h="16838"/>
      <w:pgMar w:left="1701" w:right="1701" w:header="1417" w:top="2055"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Verdana">
    <w:charset w:val="01"/>
    <w:family w:val="roman"/>
    <w:pitch w:val="variable"/>
  </w:font>
  <w:font w:name="Veranda">
    <w:charset w:val="01"/>
    <w:family w:val="roman"/>
    <w:pitch w:val="variable"/>
  </w:font>
  <w:font w:name="Liberation Sans">
    <w:altName w:val="Arial"/>
    <w:charset w:val="01"/>
    <w:family w:val="swiss"/>
    <w:pitch w:val="variable"/>
  </w:font>
  <w:font w:name="Palatino Linotyp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widowControl/>
      <w:tabs>
        <w:tab w:val="center" w:pos="4252" w:leader="none"/>
        <w:tab w:val="right" w:pos="8504" w:leader="none"/>
      </w:tabs>
      <w:bidi w:val="0"/>
      <w:spacing w:lineRule="auto" w:line="240" w:before="0" w:after="0"/>
      <w:ind w:left="0" w:right="0" w:hanging="0"/>
      <w:jc w:val="center"/>
      <w:rPr/>
    </w:pPr>
    <w:hyperlink r:id="rId1">
      <w:r>
        <w:rPr>
          <w:rStyle w:val="CollegamentoInternet"/>
          <w:b w:val="false"/>
          <w:bCs w:val="false"/>
          <w:i/>
          <w:iCs/>
          <w:color w:val="000000"/>
          <w:sz w:val="18"/>
          <w:szCs w:val="18"/>
          <w:u w:val="none"/>
          <w:lang w:val="it-IT"/>
        </w:rPr>
        <w:t>Rivista Giuridica AmbienteDiritto.it - ISSN 1974 - 9562</w:t>
      </w:r>
    </w:hyperlink>
    <w:hyperlink r:id="rId2">
      <w:r>
        <w:rPr>
          <w:rStyle w:val="CollegamentoInternet"/>
          <w:b w:val="false"/>
          <w:bCs w:val="false"/>
          <w:i w:val="false"/>
          <w:iCs w:val="false"/>
          <w:color w:val="000000"/>
          <w:sz w:val="18"/>
          <w:szCs w:val="18"/>
          <w:u w:val="none"/>
          <w:lang w:val="it-IT"/>
        </w:rPr>
        <w:t xml:space="preserve"> - </w:t>
      </w:r>
    </w:hyperlink>
    <w:hyperlink r:id="rId3">
      <w:r>
        <w:rPr>
          <w:rStyle w:val="CollegamentoInternet"/>
          <w:b w:val="false"/>
          <w:bCs w:val="false"/>
          <w:i w:val="false"/>
          <w:iCs w:val="false"/>
          <w:color w:val="000000"/>
          <w:sz w:val="22"/>
          <w:szCs w:val="22"/>
          <w:u w:val="none"/>
          <w:lang w:val="it-IT"/>
        </w:rPr>
        <w:t>A</w:t>
      </w:r>
    </w:hyperlink>
    <w:hyperlink r:id="rId4">
      <w:r>
        <w:rPr>
          <w:rStyle w:val="CollegamentoInternet"/>
          <w:b w:val="false"/>
          <w:bCs w:val="false"/>
          <w:i w:val="false"/>
          <w:iCs w:val="false"/>
          <w:color w:val="000000"/>
          <w:sz w:val="22"/>
          <w:szCs w:val="22"/>
          <w:u w:val="none"/>
          <w:lang w:val="it-IT"/>
        </w:rPr>
        <w:t>nno XX</w:t>
      </w:r>
    </w:hyperlink>
    <w:r>
      <w:rPr>
        <w:rStyle w:val="CollegamentoInternet"/>
        <w:b w:val="false"/>
        <w:bCs w:val="false"/>
        <w:i w:val="false"/>
        <w:iCs w:val="false"/>
        <w:color w:val="000000"/>
        <w:sz w:val="18"/>
        <w:szCs w:val="18"/>
        <w:u w:val="none"/>
        <w:lang w:val="it-IT"/>
      </w:rPr>
      <w:t xml:space="preserve"> - Fascicolo </w:t>
    </w:r>
    <w:r>
      <w:rPr>
        <w:rStyle w:val="CollegamentoInternet"/>
        <w:b w:val="false"/>
        <w:bCs w:val="false"/>
        <w:i w:val="false"/>
        <w:iCs w:val="false"/>
        <w:color w:val="000000"/>
        <w:sz w:val="18"/>
        <w:szCs w:val="18"/>
        <w:u w:val="none"/>
        <w:lang w:val="it-IT"/>
      </w:rPr>
      <w:t>3</w:t>
    </w:r>
    <w:hyperlink r:id="rId5">
      <w:r>
        <w:rPr>
          <w:rStyle w:val="CollegamentoInternet"/>
          <w:b w:val="false"/>
          <w:bCs w:val="false"/>
          <w:i w:val="false"/>
          <w:iCs w:val="false"/>
          <w:color w:val="000000"/>
          <w:sz w:val="20"/>
          <w:szCs w:val="20"/>
          <w:u w:val="none"/>
          <w:lang w:val="it-IT"/>
        </w:rPr>
        <w:t>/</w:t>
      </w:r>
    </w:hyperlink>
    <w:hyperlink r:id="rId6">
      <w:r>
        <w:rPr>
          <w:rStyle w:val="CollegamentoInternet"/>
          <w:b w:val="false"/>
          <w:bCs w:val="false"/>
          <w:i w:val="false"/>
          <w:iCs w:val="false"/>
          <w:color w:val="000000"/>
          <w:sz w:val="20"/>
          <w:szCs w:val="20"/>
          <w:u w:val="none"/>
          <w:lang w:val="it-IT"/>
        </w:rPr>
        <w:t>2</w:t>
      </w:r>
    </w:hyperlink>
    <w:hyperlink r:id="rId7">
      <w:r>
        <w:rPr>
          <w:rStyle w:val="CollegamentoInternet"/>
          <w:b w:val="false"/>
          <w:bCs w:val="false"/>
          <w:i w:val="false"/>
          <w:iCs w:val="false"/>
          <w:color w:val="000000"/>
          <w:sz w:val="20"/>
          <w:szCs w:val="20"/>
          <w:u w:val="none"/>
          <w:lang w:val="it-IT"/>
        </w:rPr>
        <w:t>020</w:t>
      </w:r>
    </w:hyperlink>
    <w:r>
      <w:rPr>
        <w:rStyle w:val="Nessuno"/>
        <w:b w:val="false"/>
        <w:bCs w:val="false"/>
        <w:i w:val="false"/>
        <w:iCs w:val="false"/>
        <w:color w:val="000000"/>
        <w:sz w:val="18"/>
        <w:szCs w:val="18"/>
        <w:u w:val="none"/>
        <w:lang w:val="it-IT"/>
      </w:rPr>
      <w:t xml:space="preserve"> </w:t>
    </w:r>
    <w:r>
      <w:rPr>
        <w:rStyle w:val="CollegamentoInternet"/>
        <w:rFonts w:cs="Verdana"/>
        <w:b/>
        <w:bCs/>
        <w:sz w:val="18"/>
        <w:szCs w:val="18"/>
        <w:u w:val="none"/>
      </w:rPr>
      <w:fldChar w:fldCharType="begin"/>
    </w:r>
    <w:r>
      <w:rPr>
        <w:rStyle w:val="CollegamentoInternet"/>
        <w:sz w:val="18"/>
        <w:u w:val="none"/>
        <w:b/>
        <w:szCs w:val="18"/>
        <w:bCs/>
        <w:rFonts w:cs="Verdana"/>
      </w:rPr>
      <w:instrText> PAGE </w:instrText>
    </w:r>
    <w:r>
      <w:rPr>
        <w:rStyle w:val="CollegamentoInternet"/>
        <w:sz w:val="18"/>
        <w:u w:val="none"/>
        <w:b/>
        <w:szCs w:val="18"/>
        <w:bCs/>
        <w:rFonts w:cs="Verdana"/>
      </w:rPr>
      <w:fldChar w:fldCharType="separate"/>
    </w:r>
    <w:r>
      <w:rPr>
        <w:rStyle w:val="CollegamentoInternet"/>
        <w:sz w:val="18"/>
        <w:u w:val="none"/>
        <w:b/>
        <w:szCs w:val="18"/>
        <w:bCs/>
        <w:rFonts w:cs="Verdana"/>
      </w:rPr>
      <w:t>2</w:t>
    </w:r>
    <w:r>
      <w:rPr>
        <w:rStyle w:val="CollegamentoInternet"/>
        <w:sz w:val="18"/>
        <w:u w:val="none"/>
        <w:b/>
        <w:szCs w:val="18"/>
        <w:bCs/>
        <w:rFonts w:cs="Verdana"/>
      </w:rPr>
      <w:fldChar w:fldCharType="end"/>
    </w:r>
    <w:r>
      <w:rPr>
        <w:rStyle w:val="CollegamentoInternet"/>
        <w:rFonts w:cs="Verdana"/>
        <w:b/>
        <w:bCs/>
        <w:color w:themeColor="background1"/>
        <w:sz w:val="18"/>
        <w:szCs w:val="18"/>
        <w:u w:val="none"/>
        <w:lang w:val="it-IT"/>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60"/>
      <w:jc w:val="center"/>
      <w:rPr/>
    </w:pPr>
    <w:r>
      <w:rPr>
        <w:rStyle w:val="CollegamentoInternet"/>
        <w:rFonts w:cs="Veranda" w:ascii="Veranda" w:hAnsi="Veranda"/>
        <w:b/>
        <w:bCs/>
        <w:i/>
        <w:iCs/>
        <w:color w:val="00A65D"/>
        <w:sz w:val="26"/>
        <w:szCs w:val="26"/>
        <w:u w:val="none"/>
        <w:vertAlign w:val="superscript"/>
        <w:lang w:val="it-IT"/>
      </w:rPr>
      <w:t xml:space="preserve">______________ </w:t>
    </w:r>
    <w:hyperlink r:id="rId1">
      <w:r>
        <w:rPr>
          <w:rStyle w:val="CollegamentoInternet"/>
          <w:rFonts w:cs="Veranda" w:ascii="Veranda" w:hAnsi="Veranda"/>
          <w:b w:val="false"/>
          <w:bCs w:val="false"/>
          <w:i w:val="false"/>
          <w:iCs w:val="false"/>
          <w:color w:val="B2B2B2"/>
          <w:sz w:val="26"/>
          <w:szCs w:val="26"/>
          <w:u w:val="none"/>
          <w:vertAlign w:val="superscript"/>
          <w:lang w:val="it-IT"/>
        </w:rPr>
        <w:t>AMBIENTEDIRITTO</w:t>
      </w:r>
    </w:hyperlink>
    <w:r>
      <w:rPr>
        <w:rStyle w:val="CollegamentoInternet"/>
        <w:rFonts w:cs="Veranda" w:ascii="Veranda" w:hAnsi="Veranda"/>
        <w:b/>
        <w:bCs/>
        <w:i w:val="false"/>
        <w:iCs w:val="false"/>
        <w:color w:val="1C3687"/>
        <w:sz w:val="24"/>
        <w:szCs w:val="24"/>
        <w:u w:val="none"/>
        <w:vertAlign w:val="superscript"/>
        <w:lang w:val="it-IT"/>
      </w:rPr>
      <w:t xml:space="preserve"> </w:t>
    </w:r>
    <w:r>
      <w:rPr>
        <w:rStyle w:val="CollegamentoInternet"/>
        <w:rFonts w:cs="Veranda" w:ascii="Veranda" w:hAnsi="Veranda"/>
        <w:b/>
        <w:bCs/>
        <w:i/>
        <w:iCs/>
        <w:color w:val="CE181E"/>
        <w:sz w:val="26"/>
        <w:szCs w:val="26"/>
        <w:u w:val="none"/>
        <w:vertAlign w:val="superscript"/>
        <w:lang w:val="it-IT"/>
      </w:rPr>
      <w:t xml:space="preserve">______________ </w:t>
    </w:r>
  </w:p>
</w:hdr>
</file>

<file path=word/settings.xml><?xml version="1.0" encoding="utf-8"?>
<w:settings xmlns:w="http://schemas.openxmlformats.org/wordprocessingml/2006/main">
  <w:zoom w:percent="11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s-ES_tradnl" w:eastAsia="es-E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6549b5"/>
    <w:rPr/>
  </w:style>
  <w:style w:type="character" w:styleId="Pagenumber">
    <w:name w:val="page number"/>
    <w:basedOn w:val="DefaultParagraphFont"/>
    <w:uiPriority w:val="99"/>
    <w:semiHidden/>
    <w:unhideWhenUsed/>
    <w:qFormat/>
    <w:rsid w:val="006549b5"/>
    <w:rPr/>
  </w:style>
  <w:style w:type="character" w:styleId="CollegamentoInternet">
    <w:name w:val="Collegamento Internet"/>
    <w:rPr>
      <w:rFonts w:ascii="Verdana" w:hAnsi="Verdana" w:cs="Verdana"/>
      <w:color w:val="0000FF"/>
      <w:sz w:val="24"/>
      <w:szCs w:val="24"/>
      <w:u w:val="single"/>
    </w:rPr>
  </w:style>
  <w:style w:type="character" w:styleId="ListLabel115">
    <w:name w:val="ListLabel 115"/>
    <w:qFormat/>
    <w:rPr>
      <w:rFonts w:ascii="Veranda" w:hAnsi="Veranda" w:cs="Veranda"/>
      <w:b w:val="false"/>
      <w:bCs w:val="false"/>
      <w:i w:val="false"/>
      <w:iCs w:val="false"/>
      <w:color w:val="B2B2B2"/>
      <w:sz w:val="26"/>
      <w:szCs w:val="26"/>
      <w:u w:val="none"/>
      <w:vertAlign w:val="superscript"/>
      <w:lang w:val="it-IT"/>
    </w:rPr>
  </w:style>
  <w:style w:type="character" w:styleId="ListLabel116">
    <w:name w:val="ListLabel 116"/>
    <w:qFormat/>
    <w:rPr>
      <w:b w:val="false"/>
      <w:bCs w:val="false"/>
      <w:i/>
      <w:iCs/>
      <w:color w:val="000000"/>
      <w:sz w:val="20"/>
      <w:szCs w:val="20"/>
      <w:u w:val="none"/>
      <w:lang w:val="it-IT"/>
    </w:rPr>
  </w:style>
  <w:style w:type="character" w:styleId="ListLabel117">
    <w:name w:val="ListLabel 117"/>
    <w:qFormat/>
    <w:rPr>
      <w:b w:val="false"/>
      <w:bCs w:val="false"/>
      <w:i w:val="false"/>
      <w:iCs w:val="false"/>
      <w:color w:val="000000"/>
      <w:sz w:val="20"/>
      <w:szCs w:val="20"/>
      <w:u w:val="none"/>
      <w:lang w:val="it-IT"/>
    </w:rPr>
  </w:style>
  <w:style w:type="character" w:styleId="Nessuno">
    <w:name w:val="Nessuno"/>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Pidipagina">
    <w:name w:val="Footer"/>
    <w:basedOn w:val="Normal"/>
    <w:link w:val="PidipaginaCarattere"/>
    <w:uiPriority w:val="99"/>
    <w:unhideWhenUsed/>
    <w:rsid w:val="006549b5"/>
    <w:pPr>
      <w:tabs>
        <w:tab w:val="center" w:pos="4252" w:leader="none"/>
        <w:tab w:val="right" w:pos="8504" w:leader="none"/>
      </w:tabs>
    </w:pPr>
    <w:rPr/>
  </w:style>
  <w:style w:type="paragraph" w:styleId="Contenutocornice">
    <w:name w:val="Contenuto cornice"/>
    <w:basedOn w:val="Normal"/>
    <w:qFormat/>
    <w:pPr/>
    <w:rPr/>
  </w:style>
  <w:style w:type="paragraph" w:styleId="Intestazione">
    <w:name w:val="Header"/>
    <w:basedOn w:val="Normal"/>
    <w:pPr>
      <w:suppressLineNumbers/>
      <w:tabs>
        <w:tab w:val="center" w:pos="4252" w:leader="none"/>
        <w:tab w:val="right" w:pos="8504"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mbientediritto.it/" TargetMode="External"/><Relationship Id="rId2" Type="http://schemas.openxmlformats.org/officeDocument/2006/relationships/hyperlink" Target="http://www.ambientediritto.it/" TargetMode="External"/><Relationship Id="rId3" Type="http://schemas.openxmlformats.org/officeDocument/2006/relationships/hyperlink" Target="http://www.ambientediritto.it/" TargetMode="External"/><Relationship Id="rId4" Type="http://schemas.openxmlformats.org/officeDocument/2006/relationships/hyperlink" Target="http://www.ambientediritto.it/" TargetMode="External"/><Relationship Id="rId5" Type="http://schemas.openxmlformats.org/officeDocument/2006/relationships/hyperlink" Target="http://www.ambientediritto.it/" TargetMode="External"/><Relationship Id="rId6" Type="http://schemas.openxmlformats.org/officeDocument/2006/relationships/hyperlink" Target="http://www.ambientediritto.it/" TargetMode="External"/><Relationship Id="rId7" Type="http://schemas.openxmlformats.org/officeDocument/2006/relationships/hyperlink" Target="http://www.ambientediritto.it/" TargetMode="External"/>
</Relationships>
</file>

<file path=word/_rels/header1.xml.rels><?xml version="1.0" encoding="UTF-8"?>
<Relationships xmlns="http://schemas.openxmlformats.org/package/2006/relationships"><Relationship Id="rId1" Type="http://schemas.openxmlformats.org/officeDocument/2006/relationships/hyperlink" Target="http://www.AMBIENTEDIRITTO.it/"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LibreOffice/6.0.7.3$Linux_X86_64 LibreOffice_project/00m0$Build-3</Application>
  <Pages>21</Pages>
  <Words>10273</Words>
  <Characters>55793</Characters>
  <CharactersWithSpaces>65892</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2020-07-14T10:26:00Z</dcterms:created>
  <dc:creator>tulio rosembuj</dc:creator>
  <dc:description/>
  <dc:language>it-IT</dc:language>
  <cp:lastModifiedBy/>
  <dcterms:modified xsi:type="dcterms:W3CDTF">2020-07-14T21:30:08Z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